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F4CB" w14:textId="77777777" w:rsidR="00BE2DCA" w:rsidRPr="00BE2DCA" w:rsidRDefault="00BE2DCA" w:rsidP="00BE2DCA">
      <w:pPr>
        <w:jc w:val="center"/>
        <w:rPr>
          <w:rFonts w:ascii="Garamond" w:hAnsi="Garamond"/>
          <w:b/>
        </w:rPr>
      </w:pPr>
      <w:r w:rsidRPr="00BE2DCA">
        <w:rPr>
          <w:rFonts w:ascii="Garamond" w:hAnsi="Garamond"/>
          <w:b/>
        </w:rPr>
        <w:t>Public Consultation Survey re Targeted Update of OECD Guidelines</w:t>
      </w:r>
    </w:p>
    <w:p w14:paraId="5452C086" w14:textId="77777777" w:rsidR="00BE2DCA" w:rsidRPr="00BE2DCA" w:rsidRDefault="00BE2DCA" w:rsidP="00BE2DCA">
      <w:pPr>
        <w:jc w:val="center"/>
        <w:rPr>
          <w:rFonts w:ascii="Garamond" w:hAnsi="Garamond"/>
          <w:b/>
        </w:rPr>
      </w:pPr>
      <w:r w:rsidRPr="00BE2DCA">
        <w:rPr>
          <w:rFonts w:ascii="Garamond" w:hAnsi="Garamond"/>
          <w:b/>
        </w:rPr>
        <w:t>Due Feb. 10</w:t>
      </w:r>
    </w:p>
    <w:p w14:paraId="05B0B80A" w14:textId="77777777" w:rsidR="00BE2DCA" w:rsidRPr="00BE2DCA" w:rsidRDefault="00000000" w:rsidP="00BE2DCA">
      <w:pPr>
        <w:jc w:val="center"/>
        <w:rPr>
          <w:rFonts w:ascii="Garamond" w:hAnsi="Garamond"/>
        </w:rPr>
      </w:pPr>
      <w:hyperlink r:id="rId8" w:history="1">
        <w:r w:rsidR="00BE2DCA" w:rsidRPr="00BE2DCA">
          <w:rPr>
            <w:rStyle w:val="Hyperlink"/>
            <w:rFonts w:ascii="Garamond" w:hAnsi="Garamond"/>
          </w:rPr>
          <w:t>https://survey.oecd.org/index.php?r=survey/index&amp;sid=655294</w:t>
        </w:r>
      </w:hyperlink>
      <w:r w:rsidR="00BE2DCA" w:rsidRPr="00BE2DCA">
        <w:rPr>
          <w:rFonts w:ascii="Garamond" w:hAnsi="Garamond"/>
        </w:rPr>
        <w:t xml:space="preserve"> </w:t>
      </w:r>
    </w:p>
    <w:p w14:paraId="67910590" w14:textId="77777777" w:rsidR="00BE2DCA" w:rsidRPr="00BE2DCA" w:rsidRDefault="00BE2DCA" w:rsidP="00BE2DCA">
      <w:pPr>
        <w:rPr>
          <w:rFonts w:ascii="Garamond" w:hAnsi="Garamond"/>
          <w:b/>
        </w:rPr>
      </w:pPr>
    </w:p>
    <w:p w14:paraId="418F4C6A" w14:textId="77777777" w:rsidR="00BE2DCA" w:rsidRPr="00BE2DCA" w:rsidRDefault="00BE2DCA" w:rsidP="00BE2DCA">
      <w:pPr>
        <w:rPr>
          <w:rFonts w:ascii="Garamond" w:hAnsi="Garamond"/>
          <w:b/>
        </w:rPr>
      </w:pPr>
      <w:r w:rsidRPr="00BE2DCA">
        <w:rPr>
          <w:rFonts w:ascii="Garamond" w:hAnsi="Garamond"/>
          <w:b/>
        </w:rPr>
        <w:t xml:space="preserve">Name of submitting </w:t>
      </w:r>
      <w:proofErr w:type="spellStart"/>
      <w:r w:rsidRPr="00BE2DCA">
        <w:rPr>
          <w:rFonts w:ascii="Garamond" w:hAnsi="Garamond"/>
          <w:b/>
        </w:rPr>
        <w:t>organisation</w:t>
      </w:r>
      <w:proofErr w:type="spellEnd"/>
    </w:p>
    <w:p w14:paraId="317355F3" w14:textId="77777777" w:rsidR="00BE2DCA" w:rsidRPr="00BE2DCA" w:rsidRDefault="00BE2DCA" w:rsidP="00BE2DCA">
      <w:pPr>
        <w:rPr>
          <w:rFonts w:ascii="Garamond" w:hAnsi="Garamond"/>
          <w:b/>
        </w:rPr>
      </w:pPr>
    </w:p>
    <w:p w14:paraId="30B52425" w14:textId="77777777" w:rsidR="00BE2DCA" w:rsidRPr="00BE2DCA" w:rsidRDefault="00BE2DCA" w:rsidP="00BE2DCA">
      <w:pPr>
        <w:rPr>
          <w:rFonts w:ascii="Garamond" w:hAnsi="Garamond"/>
        </w:rPr>
      </w:pPr>
      <w:r w:rsidRPr="00BE2DCA">
        <w:rPr>
          <w:rFonts w:ascii="Garamond" w:hAnsi="Garamond"/>
        </w:rPr>
        <w:tab/>
        <w:t>Inclusive Development International</w:t>
      </w:r>
    </w:p>
    <w:p w14:paraId="30386341" w14:textId="77777777" w:rsidR="00BE2DCA" w:rsidRPr="00BE2DCA" w:rsidRDefault="00BE2DCA" w:rsidP="00BE2DCA">
      <w:pPr>
        <w:rPr>
          <w:rFonts w:ascii="Garamond" w:hAnsi="Garamond"/>
          <w:b/>
        </w:rPr>
      </w:pPr>
    </w:p>
    <w:p w14:paraId="7E4476D9" w14:textId="77777777" w:rsidR="00BE2DCA" w:rsidRPr="00BE2DCA" w:rsidRDefault="00BE2DCA" w:rsidP="00BE2DCA">
      <w:pPr>
        <w:rPr>
          <w:rFonts w:ascii="Garamond" w:hAnsi="Garamond"/>
          <w:b/>
        </w:rPr>
      </w:pPr>
      <w:r w:rsidRPr="00BE2DCA">
        <w:rPr>
          <w:rFonts w:ascii="Garamond" w:hAnsi="Garamond"/>
          <w:b/>
        </w:rPr>
        <w:t xml:space="preserve">Please identify the </w:t>
      </w:r>
      <w:proofErr w:type="spellStart"/>
      <w:r w:rsidRPr="00BE2DCA">
        <w:rPr>
          <w:rFonts w:ascii="Garamond" w:hAnsi="Garamond"/>
          <w:b/>
        </w:rPr>
        <w:t>organisation</w:t>
      </w:r>
      <w:proofErr w:type="spellEnd"/>
      <w:r w:rsidRPr="00BE2DCA">
        <w:rPr>
          <w:rFonts w:ascii="Garamond" w:hAnsi="Garamond"/>
          <w:b/>
        </w:rPr>
        <w:t xml:space="preserve"> type of the submitting party</w:t>
      </w:r>
    </w:p>
    <w:p w14:paraId="2390528D" w14:textId="77777777" w:rsidR="00BE2DCA" w:rsidRPr="00BE2DCA" w:rsidRDefault="00BE2DCA" w:rsidP="00BE2DCA">
      <w:pPr>
        <w:rPr>
          <w:rFonts w:ascii="Garamond" w:hAnsi="Garamond"/>
          <w:b/>
        </w:rPr>
      </w:pPr>
    </w:p>
    <w:p w14:paraId="72BBBE77" w14:textId="77777777" w:rsidR="00BE2DCA" w:rsidRPr="00BE2DCA" w:rsidRDefault="00BE2DCA" w:rsidP="00BE2DCA">
      <w:pPr>
        <w:rPr>
          <w:rFonts w:ascii="Garamond" w:hAnsi="Garamond"/>
        </w:rPr>
      </w:pPr>
      <w:r w:rsidRPr="00BE2DCA">
        <w:rPr>
          <w:rFonts w:ascii="Garamond" w:hAnsi="Garamond"/>
        </w:rPr>
        <w:tab/>
        <w:t xml:space="preserve">Civil society </w:t>
      </w:r>
      <w:proofErr w:type="spellStart"/>
      <w:r w:rsidRPr="00BE2DCA">
        <w:rPr>
          <w:rFonts w:ascii="Garamond" w:hAnsi="Garamond"/>
        </w:rPr>
        <w:t>organisation</w:t>
      </w:r>
      <w:proofErr w:type="spellEnd"/>
      <w:r w:rsidRPr="00BE2DCA">
        <w:rPr>
          <w:rFonts w:ascii="Garamond" w:hAnsi="Garamond"/>
        </w:rPr>
        <w:t xml:space="preserve"> </w:t>
      </w:r>
    </w:p>
    <w:p w14:paraId="2786D3DE" w14:textId="77777777" w:rsidR="00BE2DCA" w:rsidRPr="00BE2DCA" w:rsidRDefault="00BE2DCA" w:rsidP="00BE2DCA">
      <w:pPr>
        <w:rPr>
          <w:rFonts w:ascii="Garamond" w:hAnsi="Garamond"/>
          <w:b/>
        </w:rPr>
      </w:pPr>
    </w:p>
    <w:p w14:paraId="7A7AB034" w14:textId="77777777" w:rsidR="00BE2DCA" w:rsidRPr="00BE2DCA" w:rsidRDefault="00BE2DCA" w:rsidP="00BE2DCA">
      <w:pPr>
        <w:rPr>
          <w:rFonts w:ascii="Garamond" w:hAnsi="Garamond"/>
          <w:b/>
        </w:rPr>
      </w:pPr>
      <w:r w:rsidRPr="00BE2DCA">
        <w:rPr>
          <w:rFonts w:ascii="Garamond" w:hAnsi="Garamond"/>
          <w:b/>
        </w:rPr>
        <w:t>General comments</w:t>
      </w:r>
      <w:r w:rsidRPr="00BE2DCA">
        <w:rPr>
          <w:rFonts w:ascii="Garamond" w:hAnsi="Garamond"/>
        </w:rPr>
        <w:t xml:space="preserve"> (max 2000 characters)</w:t>
      </w:r>
    </w:p>
    <w:p w14:paraId="4FC6C2CF" w14:textId="77777777" w:rsidR="00BE2DCA" w:rsidRDefault="00BE2DCA" w:rsidP="00BE2DCA">
      <w:pPr>
        <w:rPr>
          <w:rFonts w:ascii="Garamond" w:hAnsi="Garamond"/>
          <w:b/>
        </w:rPr>
      </w:pPr>
    </w:p>
    <w:p w14:paraId="0A42C06F" w14:textId="65643EF3" w:rsidR="00940A69" w:rsidRDefault="00B72A49" w:rsidP="00BE2DCA">
      <w:pPr>
        <w:rPr>
          <w:rFonts w:ascii="Garamond" w:hAnsi="Garamond"/>
        </w:rPr>
      </w:pPr>
      <w:r>
        <w:rPr>
          <w:rFonts w:ascii="Garamond" w:hAnsi="Garamond"/>
        </w:rPr>
        <w:t>Inclusive Development International</w:t>
      </w:r>
      <w:r w:rsidR="00940A69">
        <w:rPr>
          <w:rFonts w:ascii="Garamond" w:hAnsi="Garamond"/>
        </w:rPr>
        <w:t xml:space="preserve"> welcome</w:t>
      </w:r>
      <w:r>
        <w:rPr>
          <w:rFonts w:ascii="Garamond" w:hAnsi="Garamond"/>
        </w:rPr>
        <w:t>s</w:t>
      </w:r>
      <w:r w:rsidR="00940A69">
        <w:rPr>
          <w:rFonts w:ascii="Garamond" w:hAnsi="Garamond"/>
        </w:rPr>
        <w:t xml:space="preserve"> the opportunity to comment </w:t>
      </w:r>
      <w:r>
        <w:rPr>
          <w:rFonts w:ascii="Garamond" w:hAnsi="Garamond"/>
        </w:rPr>
        <w:t>on</w:t>
      </w:r>
      <w:r w:rsidR="00940A69">
        <w:rPr>
          <w:rFonts w:ascii="Garamond" w:hAnsi="Garamond"/>
        </w:rPr>
        <w:t xml:space="preserve"> the update of the Guidelines. </w:t>
      </w:r>
      <w:r w:rsidR="00D94DAC">
        <w:rPr>
          <w:rFonts w:ascii="Garamond" w:hAnsi="Garamond"/>
        </w:rPr>
        <w:t xml:space="preserve">As an organization that </w:t>
      </w:r>
      <w:r w:rsidR="00A44ED1">
        <w:rPr>
          <w:rFonts w:ascii="Garamond" w:hAnsi="Garamond"/>
        </w:rPr>
        <w:t>supports</w:t>
      </w:r>
      <w:r w:rsidR="00D94DAC">
        <w:rPr>
          <w:rFonts w:ascii="Garamond" w:hAnsi="Garamond"/>
        </w:rPr>
        <w:t xml:space="preserve"> communities impacted by business activities and that has</w:t>
      </w:r>
      <w:r w:rsidR="001A188A">
        <w:rPr>
          <w:rFonts w:ascii="Garamond" w:hAnsi="Garamond"/>
        </w:rPr>
        <w:t xml:space="preserve"> </w:t>
      </w:r>
      <w:r w:rsidR="00D94DAC">
        <w:rPr>
          <w:rFonts w:ascii="Garamond" w:hAnsi="Garamond"/>
        </w:rPr>
        <w:t xml:space="preserve">experience using the Guidelines to encourage responsible business conduct and secure remedy via NCP complaints, </w:t>
      </w:r>
      <w:r>
        <w:rPr>
          <w:rFonts w:ascii="Garamond" w:hAnsi="Garamond"/>
        </w:rPr>
        <w:t>we are</w:t>
      </w:r>
      <w:r w:rsidR="00940A69">
        <w:rPr>
          <w:rFonts w:ascii="Garamond" w:hAnsi="Garamond"/>
        </w:rPr>
        <w:t xml:space="preserve"> well placed to </w:t>
      </w:r>
      <w:r w:rsidR="00D25EB4">
        <w:rPr>
          <w:rFonts w:ascii="Garamond" w:hAnsi="Garamond"/>
        </w:rPr>
        <w:t>comment</w:t>
      </w:r>
      <w:r w:rsidR="00940A69">
        <w:rPr>
          <w:rFonts w:ascii="Garamond" w:hAnsi="Garamond"/>
        </w:rPr>
        <w:t xml:space="preserve"> on the revision. Our comments are grounded in our extensive experience supporting communities through NCP and other non-judicial </w:t>
      </w:r>
      <w:r w:rsidR="00FA055E">
        <w:rPr>
          <w:rFonts w:ascii="Garamond" w:hAnsi="Garamond"/>
        </w:rPr>
        <w:t xml:space="preserve">grievance </w:t>
      </w:r>
      <w:r w:rsidR="00940A69">
        <w:rPr>
          <w:rFonts w:ascii="Garamond" w:hAnsi="Garamond"/>
        </w:rPr>
        <w:t>processes</w:t>
      </w:r>
      <w:r w:rsidR="00154059">
        <w:rPr>
          <w:rFonts w:ascii="Garamond" w:hAnsi="Garamond"/>
        </w:rPr>
        <w:t>, including in one of the few NCP cases</w:t>
      </w:r>
      <w:r w:rsidR="0005323E">
        <w:rPr>
          <w:rFonts w:ascii="Garamond" w:hAnsi="Garamond"/>
        </w:rPr>
        <w:t xml:space="preserve"> -</w:t>
      </w:r>
      <w:r w:rsidR="00154059">
        <w:rPr>
          <w:rFonts w:ascii="Garamond" w:hAnsi="Garamond"/>
        </w:rPr>
        <w:t xml:space="preserve"> </w:t>
      </w:r>
      <w:r w:rsidR="0005323E" w:rsidRPr="0005323E">
        <w:rPr>
          <w:rFonts w:ascii="Garamond" w:hAnsi="Garamond"/>
        </w:rPr>
        <w:t>regarding ANZ bank’s financing activities in Cambodia</w:t>
      </w:r>
      <w:r w:rsidR="0005323E">
        <w:rPr>
          <w:rFonts w:ascii="Garamond" w:hAnsi="Garamond"/>
        </w:rPr>
        <w:t xml:space="preserve"> - </w:t>
      </w:r>
      <w:r w:rsidR="00154059">
        <w:rPr>
          <w:rFonts w:ascii="Garamond" w:hAnsi="Garamond"/>
        </w:rPr>
        <w:t>that have resulted in tangible remedial outcomes for communities</w:t>
      </w:r>
      <w:r w:rsidR="00FA055E">
        <w:rPr>
          <w:rFonts w:ascii="Garamond" w:hAnsi="Garamond"/>
        </w:rPr>
        <w:t>.</w:t>
      </w:r>
    </w:p>
    <w:p w14:paraId="7A56657C" w14:textId="77777777" w:rsidR="00940A69" w:rsidRDefault="00940A69" w:rsidP="00BE2DCA">
      <w:pPr>
        <w:rPr>
          <w:rFonts w:ascii="Garamond" w:hAnsi="Garamond"/>
        </w:rPr>
      </w:pPr>
    </w:p>
    <w:p w14:paraId="5042DFC1" w14:textId="6853926B" w:rsidR="00D94DAC" w:rsidRPr="0005323E" w:rsidRDefault="00D94DAC" w:rsidP="00BE2DCA">
      <w:pPr>
        <w:rPr>
          <w:rFonts w:ascii="Garamond" w:hAnsi="Garamond"/>
        </w:rPr>
      </w:pPr>
      <w:r>
        <w:rPr>
          <w:rFonts w:ascii="Garamond" w:hAnsi="Garamond"/>
        </w:rPr>
        <w:t>In the 1</w:t>
      </w:r>
      <w:r w:rsidR="003444E6">
        <w:rPr>
          <w:rFonts w:ascii="Garamond" w:hAnsi="Garamond"/>
        </w:rPr>
        <w:t>2</w:t>
      </w:r>
      <w:r>
        <w:rPr>
          <w:rFonts w:ascii="Garamond" w:hAnsi="Garamond"/>
        </w:rPr>
        <w:t xml:space="preserve"> years since the Guidelines were last revised, other </w:t>
      </w:r>
      <w:r w:rsidR="003444E6">
        <w:rPr>
          <w:rFonts w:ascii="Garamond" w:hAnsi="Garamond"/>
        </w:rPr>
        <w:t xml:space="preserve">relevant </w:t>
      </w:r>
      <w:r>
        <w:rPr>
          <w:rFonts w:ascii="Garamond" w:hAnsi="Garamond"/>
        </w:rPr>
        <w:t xml:space="preserve">global standards have been developed, making the Guidelines outdated in </w:t>
      </w:r>
      <w:r w:rsidR="00D25EB4">
        <w:rPr>
          <w:rFonts w:ascii="Garamond" w:hAnsi="Garamond"/>
        </w:rPr>
        <w:t>several</w:t>
      </w:r>
      <w:r>
        <w:rPr>
          <w:rFonts w:ascii="Garamond" w:hAnsi="Garamond"/>
        </w:rPr>
        <w:t xml:space="preserve"> respects, including </w:t>
      </w:r>
      <w:proofErr w:type="gramStart"/>
      <w:r>
        <w:rPr>
          <w:rFonts w:ascii="Garamond" w:hAnsi="Garamond"/>
        </w:rPr>
        <w:t>with regard to</w:t>
      </w:r>
      <w:proofErr w:type="gramEnd"/>
      <w:r>
        <w:rPr>
          <w:rFonts w:ascii="Garamond" w:hAnsi="Garamond"/>
        </w:rPr>
        <w:t xml:space="preserve"> land and resource rights; vulnerable groups, including human rights defenders and Indigenous Peoples; and climate change and a just transition. Moreover, while NCPs have a vital role to play in ensuring the effectiveness of the Guidelines, including by handling complaints and providing what is often the only viable forum available to impacted communities to seek remedy, their track record is p</w:t>
      </w:r>
      <w:r w:rsidR="00444D3E">
        <w:rPr>
          <w:rFonts w:ascii="Garamond" w:hAnsi="Garamond"/>
        </w:rPr>
        <w:t>oor. Therefore, updates to both</w:t>
      </w:r>
      <w:r>
        <w:rPr>
          <w:rFonts w:ascii="Garamond" w:hAnsi="Garamond"/>
        </w:rPr>
        <w:t xml:space="preserve"> the substantive chapters of the Guidelines, as well as the </w:t>
      </w:r>
      <w:r w:rsidR="00444D3E">
        <w:rPr>
          <w:rFonts w:ascii="Garamond" w:hAnsi="Garamond"/>
        </w:rPr>
        <w:t>Procedures governing NCP</w:t>
      </w:r>
      <w:r w:rsidR="001A188A">
        <w:rPr>
          <w:rFonts w:ascii="Garamond" w:hAnsi="Garamond"/>
        </w:rPr>
        <w:t>s</w:t>
      </w:r>
      <w:r w:rsidR="00444D3E">
        <w:rPr>
          <w:rFonts w:ascii="Garamond" w:hAnsi="Garamond"/>
        </w:rPr>
        <w:t xml:space="preserve">, are badly needed. </w:t>
      </w:r>
      <w:r w:rsidR="00D22E5F">
        <w:rPr>
          <w:rFonts w:ascii="Garamond" w:hAnsi="Garamond"/>
        </w:rPr>
        <w:t>W</w:t>
      </w:r>
      <w:r w:rsidR="00154059">
        <w:rPr>
          <w:rFonts w:ascii="Garamond" w:hAnsi="Garamond"/>
        </w:rPr>
        <w:t>hile the proposed revisions</w:t>
      </w:r>
      <w:r w:rsidR="00D22E5F">
        <w:rPr>
          <w:rFonts w:ascii="Garamond" w:hAnsi="Garamond"/>
        </w:rPr>
        <w:t xml:space="preserve"> are positive in </w:t>
      </w:r>
      <w:r w:rsidR="003444E6">
        <w:rPr>
          <w:rFonts w:ascii="Garamond" w:hAnsi="Garamond"/>
        </w:rPr>
        <w:t>many</w:t>
      </w:r>
      <w:r w:rsidR="00D22E5F">
        <w:rPr>
          <w:rFonts w:ascii="Garamond" w:hAnsi="Garamond"/>
        </w:rPr>
        <w:t xml:space="preserve"> respects, </w:t>
      </w:r>
      <w:r w:rsidR="00154059">
        <w:rPr>
          <w:rFonts w:ascii="Garamond" w:hAnsi="Garamond"/>
        </w:rPr>
        <w:t xml:space="preserve">they remain insufficient in others, </w:t>
      </w:r>
      <w:r w:rsidR="003444E6">
        <w:rPr>
          <w:rFonts w:ascii="Garamond" w:hAnsi="Garamond"/>
        </w:rPr>
        <w:t>particularly</w:t>
      </w:r>
      <w:r w:rsidR="005C1016">
        <w:rPr>
          <w:rFonts w:ascii="Garamond" w:hAnsi="Garamond"/>
        </w:rPr>
        <w:t xml:space="preserve"> </w:t>
      </w:r>
      <w:r w:rsidR="00D25EB4">
        <w:rPr>
          <w:rFonts w:ascii="Garamond" w:hAnsi="Garamond"/>
        </w:rPr>
        <w:t xml:space="preserve">in relation to </w:t>
      </w:r>
      <w:r w:rsidR="00154059">
        <w:rPr>
          <w:rFonts w:ascii="Garamond" w:hAnsi="Garamond"/>
        </w:rPr>
        <w:t xml:space="preserve">the guidance </w:t>
      </w:r>
      <w:r w:rsidR="003444E6">
        <w:rPr>
          <w:rFonts w:ascii="Garamond" w:hAnsi="Garamond"/>
        </w:rPr>
        <w:t>to</w:t>
      </w:r>
      <w:r w:rsidR="005C1016">
        <w:rPr>
          <w:rFonts w:ascii="Garamond" w:hAnsi="Garamond"/>
        </w:rPr>
        <w:t xml:space="preserve"> NCPs </w:t>
      </w:r>
      <w:proofErr w:type="gramStart"/>
      <w:r w:rsidR="005C1016">
        <w:rPr>
          <w:rFonts w:ascii="Garamond" w:hAnsi="Garamond"/>
        </w:rPr>
        <w:t>on</w:t>
      </w:r>
      <w:r w:rsidR="00E20696">
        <w:rPr>
          <w:rFonts w:ascii="Garamond" w:hAnsi="Garamond"/>
        </w:rPr>
        <w:t>:</w:t>
      </w:r>
      <w:proofErr w:type="gramEnd"/>
      <w:r w:rsidR="005C1016">
        <w:rPr>
          <w:rFonts w:ascii="Garamond" w:hAnsi="Garamond"/>
        </w:rPr>
        <w:t xml:space="preserve"> </w:t>
      </w:r>
      <w:r w:rsidR="00154059">
        <w:rPr>
          <w:rFonts w:ascii="Garamond" w:hAnsi="Garamond"/>
        </w:rPr>
        <w:t>transparency</w:t>
      </w:r>
      <w:r w:rsidR="00711B22">
        <w:rPr>
          <w:rFonts w:ascii="Garamond" w:hAnsi="Garamond"/>
        </w:rPr>
        <w:t>,</w:t>
      </w:r>
      <w:r w:rsidR="005C1016">
        <w:rPr>
          <w:rFonts w:ascii="Garamond" w:hAnsi="Garamond"/>
        </w:rPr>
        <w:t xml:space="preserve"> </w:t>
      </w:r>
      <w:r w:rsidR="00A44ED1">
        <w:rPr>
          <w:rFonts w:ascii="Garamond" w:hAnsi="Garamond"/>
        </w:rPr>
        <w:t xml:space="preserve">issuing </w:t>
      </w:r>
      <w:r w:rsidR="005C1016">
        <w:rPr>
          <w:rFonts w:ascii="Garamond" w:hAnsi="Garamond"/>
        </w:rPr>
        <w:t>determinations and recommendations in final statements</w:t>
      </w:r>
      <w:r w:rsidR="00711B22">
        <w:rPr>
          <w:rFonts w:ascii="Garamond" w:hAnsi="Garamond"/>
        </w:rPr>
        <w:t xml:space="preserve">, </w:t>
      </w:r>
      <w:r w:rsidR="008D0678">
        <w:rPr>
          <w:rFonts w:ascii="Garamond" w:hAnsi="Garamond"/>
        </w:rPr>
        <w:t xml:space="preserve">follow-up on </w:t>
      </w:r>
      <w:r w:rsidR="005C1016">
        <w:rPr>
          <w:rFonts w:ascii="Garamond" w:hAnsi="Garamond"/>
        </w:rPr>
        <w:t>outcomes</w:t>
      </w:r>
      <w:r w:rsidR="00711B22">
        <w:rPr>
          <w:rFonts w:ascii="Garamond" w:hAnsi="Garamond"/>
        </w:rPr>
        <w:t>,</w:t>
      </w:r>
      <w:r w:rsidR="005C1016">
        <w:rPr>
          <w:rFonts w:ascii="Garamond" w:hAnsi="Garamond"/>
        </w:rPr>
        <w:t xml:space="preserve"> and consequences</w:t>
      </w:r>
      <w:r w:rsidR="008D0678">
        <w:rPr>
          <w:rFonts w:ascii="Garamond" w:hAnsi="Garamond"/>
        </w:rPr>
        <w:t xml:space="preserve"> for non-conformance</w:t>
      </w:r>
      <w:r w:rsidR="00D22E5F">
        <w:rPr>
          <w:rFonts w:ascii="Garamond" w:hAnsi="Garamond"/>
        </w:rPr>
        <w:t>.</w:t>
      </w:r>
      <w:r w:rsidR="00D21D37">
        <w:rPr>
          <w:rFonts w:ascii="Garamond" w:hAnsi="Garamond"/>
        </w:rPr>
        <w:t xml:space="preserve"> Each of these is vital to the effectiveness of NCPs</w:t>
      </w:r>
      <w:r w:rsidR="00CD2537">
        <w:rPr>
          <w:rFonts w:ascii="Garamond" w:hAnsi="Garamond"/>
        </w:rPr>
        <w:t xml:space="preserve"> and their relevance in the context of </w:t>
      </w:r>
      <w:r w:rsidR="00820BE0">
        <w:rPr>
          <w:rFonts w:ascii="Garamond" w:hAnsi="Garamond"/>
        </w:rPr>
        <w:t xml:space="preserve">increasing </w:t>
      </w:r>
      <w:r w:rsidR="00E2285B">
        <w:rPr>
          <w:rFonts w:ascii="Garamond" w:hAnsi="Garamond"/>
        </w:rPr>
        <w:t xml:space="preserve">RBC </w:t>
      </w:r>
      <w:r w:rsidR="00CD2537">
        <w:rPr>
          <w:rFonts w:ascii="Garamond" w:hAnsi="Garamond"/>
        </w:rPr>
        <w:t>due diligence</w:t>
      </w:r>
      <w:r w:rsidR="00727668">
        <w:rPr>
          <w:rFonts w:ascii="Garamond" w:hAnsi="Garamond"/>
        </w:rPr>
        <w:t xml:space="preserve"> legislation</w:t>
      </w:r>
      <w:r w:rsidR="00E2285B">
        <w:rPr>
          <w:rFonts w:ascii="Garamond" w:hAnsi="Garamond"/>
        </w:rPr>
        <w:t xml:space="preserve"> and </w:t>
      </w:r>
      <w:r w:rsidR="000D6D01">
        <w:rPr>
          <w:rFonts w:ascii="Garamond" w:hAnsi="Garamond"/>
        </w:rPr>
        <w:t xml:space="preserve">judicial </w:t>
      </w:r>
      <w:r w:rsidR="00E2285B">
        <w:rPr>
          <w:rFonts w:ascii="Garamond" w:hAnsi="Garamond"/>
        </w:rPr>
        <w:t>proceedings</w:t>
      </w:r>
      <w:r w:rsidR="00D21D37">
        <w:rPr>
          <w:rFonts w:ascii="Garamond" w:hAnsi="Garamond"/>
        </w:rPr>
        <w:t>.</w:t>
      </w:r>
    </w:p>
    <w:p w14:paraId="042D131D" w14:textId="77777777" w:rsidR="00D94DAC" w:rsidRPr="00BE2DCA" w:rsidRDefault="00D94DAC" w:rsidP="00BE2DCA">
      <w:pPr>
        <w:rPr>
          <w:rFonts w:ascii="Garamond" w:hAnsi="Garamond"/>
          <w:b/>
        </w:rPr>
      </w:pPr>
    </w:p>
    <w:p w14:paraId="172C6C39" w14:textId="77777777" w:rsidR="00BE2DCA" w:rsidRPr="00BE2DCA" w:rsidRDefault="00BE2DCA" w:rsidP="00BE2DCA">
      <w:pPr>
        <w:rPr>
          <w:rFonts w:ascii="Garamond" w:hAnsi="Garamond"/>
          <w:b/>
        </w:rPr>
      </w:pPr>
      <w:r w:rsidRPr="00BE2DCA">
        <w:rPr>
          <w:rFonts w:ascii="Garamond" w:hAnsi="Garamond"/>
          <w:b/>
        </w:rPr>
        <w:t>Chapter I: Concepts and Principles</w:t>
      </w:r>
      <w:r w:rsidRPr="00BE2DCA">
        <w:rPr>
          <w:rFonts w:ascii="Garamond" w:hAnsi="Garamond"/>
        </w:rPr>
        <w:t xml:space="preserve"> (max 2000 characters)</w:t>
      </w:r>
    </w:p>
    <w:p w14:paraId="1E408533" w14:textId="77777777" w:rsidR="00BE2DCA" w:rsidRPr="00BE2DCA" w:rsidRDefault="00BE2DCA" w:rsidP="00BE2DCA">
      <w:pPr>
        <w:rPr>
          <w:rFonts w:ascii="Garamond" w:hAnsi="Garamond"/>
          <w:b/>
        </w:rPr>
      </w:pPr>
    </w:p>
    <w:p w14:paraId="2C42BBBD" w14:textId="77777777" w:rsidR="00BE2DCA" w:rsidRPr="00BE2DCA" w:rsidRDefault="00BE2DCA" w:rsidP="00BE2DCA">
      <w:pPr>
        <w:rPr>
          <w:rFonts w:ascii="Garamond" w:hAnsi="Garamond"/>
          <w:b/>
          <w:bCs/>
        </w:rPr>
      </w:pPr>
      <w:r w:rsidRPr="00BE2DCA">
        <w:rPr>
          <w:rFonts w:ascii="Garamond" w:hAnsi="Garamond"/>
          <w:b/>
          <w:bCs/>
        </w:rPr>
        <w:t>Chapter II: General Policies</w:t>
      </w:r>
      <w:r w:rsidRPr="00BE2DCA">
        <w:rPr>
          <w:rFonts w:ascii="Garamond" w:hAnsi="Garamond"/>
        </w:rPr>
        <w:t xml:space="preserve"> (max 2000 characters)</w:t>
      </w:r>
    </w:p>
    <w:p w14:paraId="1728FCB5" w14:textId="77777777" w:rsidR="00BE2DCA" w:rsidRPr="00BE2DCA" w:rsidRDefault="00BE2DCA" w:rsidP="00BE2DCA">
      <w:pPr>
        <w:rPr>
          <w:rFonts w:ascii="Garamond" w:hAnsi="Garamond"/>
        </w:rPr>
      </w:pPr>
    </w:p>
    <w:p w14:paraId="629BA3E9" w14:textId="52769E48" w:rsidR="005A4E77" w:rsidRDefault="005A4E77" w:rsidP="6B515758">
      <w:pPr>
        <w:pStyle w:val="ListParagraph"/>
        <w:numPr>
          <w:ilvl w:val="0"/>
          <w:numId w:val="5"/>
        </w:numPr>
        <w:rPr>
          <w:rFonts w:ascii="Garamond" w:eastAsia="Times New Roman" w:hAnsi="Garamond" w:cs="Times New Roman"/>
          <w:color w:val="000000" w:themeColor="text1"/>
        </w:rPr>
      </w:pPr>
      <w:r>
        <w:rPr>
          <w:rFonts w:ascii="Garamond" w:eastAsia="Times New Roman" w:hAnsi="Garamond" w:cs="Times New Roman"/>
          <w:color w:val="000000" w:themeColor="text1"/>
        </w:rPr>
        <w:t xml:space="preserve">Definition of MNEs: The </w:t>
      </w:r>
      <w:r w:rsidR="00700F10">
        <w:rPr>
          <w:rFonts w:ascii="Garamond" w:eastAsia="Times New Roman" w:hAnsi="Garamond" w:cs="Times New Roman"/>
          <w:color w:val="000000" w:themeColor="text1"/>
        </w:rPr>
        <w:t>update</w:t>
      </w:r>
      <w:r>
        <w:rPr>
          <w:rFonts w:ascii="Garamond" w:eastAsia="Times New Roman" w:hAnsi="Garamond" w:cs="Times New Roman"/>
          <w:color w:val="000000" w:themeColor="text1"/>
        </w:rPr>
        <w:t xml:space="preserve"> limiting Guidelines application to companies conducting </w:t>
      </w:r>
      <w:r>
        <w:rPr>
          <w:rFonts w:ascii="Garamond" w:eastAsia="Times New Roman" w:hAnsi="Garamond" w:cs="Times New Roman"/>
          <w:i/>
          <w:color w:val="000000" w:themeColor="text1"/>
        </w:rPr>
        <w:t xml:space="preserve">a significant amount of </w:t>
      </w:r>
      <w:r>
        <w:rPr>
          <w:rFonts w:ascii="Garamond" w:eastAsia="Times New Roman" w:hAnsi="Garamond" w:cs="Times New Roman"/>
          <w:color w:val="000000" w:themeColor="text1"/>
        </w:rPr>
        <w:t xml:space="preserve">business </w:t>
      </w:r>
      <w:r w:rsidR="00700F10">
        <w:rPr>
          <w:rFonts w:ascii="Garamond" w:eastAsia="Times New Roman" w:hAnsi="Garamond" w:cs="Times New Roman"/>
          <w:color w:val="000000" w:themeColor="text1"/>
        </w:rPr>
        <w:t>in more than one</w:t>
      </w:r>
      <w:r>
        <w:rPr>
          <w:rFonts w:ascii="Garamond" w:eastAsia="Times New Roman" w:hAnsi="Garamond" w:cs="Times New Roman"/>
          <w:color w:val="000000" w:themeColor="text1"/>
        </w:rPr>
        <w:t xml:space="preserve"> country should be eliminated as it lacks clarity and may significantly reduce the accessibility and effectiveness of NCP</w:t>
      </w:r>
      <w:r w:rsidR="00700F10">
        <w:rPr>
          <w:rFonts w:ascii="Garamond" w:eastAsia="Times New Roman" w:hAnsi="Garamond" w:cs="Times New Roman"/>
          <w:color w:val="000000" w:themeColor="text1"/>
        </w:rPr>
        <w:t xml:space="preserve"> complaints</w:t>
      </w:r>
      <w:r>
        <w:rPr>
          <w:rFonts w:ascii="Garamond" w:eastAsia="Times New Roman" w:hAnsi="Garamond" w:cs="Times New Roman"/>
          <w:color w:val="000000" w:themeColor="text1"/>
        </w:rPr>
        <w:t>.</w:t>
      </w:r>
    </w:p>
    <w:p w14:paraId="35860033" w14:textId="2C9D02CA" w:rsidR="0038577D" w:rsidRPr="00781B56" w:rsidRDefault="0038577D" w:rsidP="6B515758">
      <w:pPr>
        <w:pStyle w:val="ListParagraph"/>
        <w:numPr>
          <w:ilvl w:val="0"/>
          <w:numId w:val="5"/>
        </w:numPr>
        <w:rPr>
          <w:rFonts w:ascii="Garamond" w:eastAsia="Times New Roman" w:hAnsi="Garamond" w:cs="Times New Roman"/>
          <w:color w:val="000000" w:themeColor="text1"/>
        </w:rPr>
      </w:pPr>
      <w:r>
        <w:rPr>
          <w:rFonts w:ascii="Garamond" w:eastAsia="Times New Roman" w:hAnsi="Garamond" w:cs="Times New Roman"/>
          <w:color w:val="000000" w:themeColor="text1"/>
        </w:rPr>
        <w:t>Scope of due diligence: We note that due diligence has always covered MNEs’</w:t>
      </w:r>
      <w:r w:rsidR="004F375C">
        <w:rPr>
          <w:rFonts w:ascii="Garamond" w:eastAsia="Times New Roman" w:hAnsi="Garamond" w:cs="Times New Roman"/>
          <w:color w:val="000000" w:themeColor="text1"/>
        </w:rPr>
        <w:t xml:space="preserve"> </w:t>
      </w:r>
      <w:r w:rsidR="004F375C" w:rsidRPr="004F375C">
        <w:rPr>
          <w:rFonts w:ascii="Garamond" w:eastAsia="Times New Roman" w:hAnsi="Garamond" w:cs="Times New Roman"/>
          <w:color w:val="000000" w:themeColor="text1"/>
        </w:rPr>
        <w:t>entire supply and value chain, including</w:t>
      </w:r>
      <w:r>
        <w:rPr>
          <w:rFonts w:ascii="Garamond" w:eastAsia="Times New Roman" w:hAnsi="Garamond" w:cs="Times New Roman"/>
          <w:color w:val="000000" w:themeColor="text1"/>
        </w:rPr>
        <w:t xml:space="preserve"> </w:t>
      </w:r>
      <w:r w:rsidR="004F375C">
        <w:rPr>
          <w:rFonts w:ascii="Garamond" w:eastAsia="Times New Roman" w:hAnsi="Garamond" w:cs="Times New Roman"/>
          <w:color w:val="000000" w:themeColor="text1"/>
        </w:rPr>
        <w:t xml:space="preserve">downstream business </w:t>
      </w:r>
      <w:r>
        <w:rPr>
          <w:rFonts w:ascii="Garamond" w:eastAsia="Times New Roman" w:hAnsi="Garamond" w:cs="Times New Roman"/>
          <w:color w:val="000000" w:themeColor="text1"/>
        </w:rPr>
        <w:t>relationships</w:t>
      </w:r>
      <w:r w:rsidR="004F375C">
        <w:rPr>
          <w:rFonts w:ascii="Garamond" w:eastAsia="Times New Roman" w:hAnsi="Garamond" w:cs="Times New Roman"/>
          <w:color w:val="000000" w:themeColor="text1"/>
        </w:rPr>
        <w:t>,</w:t>
      </w:r>
      <w:r>
        <w:rPr>
          <w:rFonts w:ascii="Garamond" w:eastAsia="Times New Roman" w:hAnsi="Garamond" w:cs="Times New Roman"/>
          <w:color w:val="000000" w:themeColor="text1"/>
        </w:rPr>
        <w:t xml:space="preserve"> and request that the text makes this clear.</w:t>
      </w:r>
    </w:p>
    <w:p w14:paraId="0175AF5C" w14:textId="15F02BA8" w:rsidR="00BE2DCA" w:rsidRPr="00BE2DCA" w:rsidRDefault="10CCEB7E" w:rsidP="6B515758">
      <w:pPr>
        <w:pStyle w:val="ListParagraph"/>
        <w:numPr>
          <w:ilvl w:val="0"/>
          <w:numId w:val="5"/>
        </w:numPr>
        <w:rPr>
          <w:rFonts w:ascii="Garamond" w:eastAsia="Times New Roman" w:hAnsi="Garamond" w:cs="Times New Roman"/>
          <w:color w:val="000000" w:themeColor="text1"/>
        </w:rPr>
      </w:pPr>
      <w:r w:rsidRPr="10CCEB7E">
        <w:rPr>
          <w:rFonts w:ascii="Garamond" w:hAnsi="Garamond"/>
          <w:u w:val="single"/>
        </w:rPr>
        <w:t>Human rights defenders (HRDs)</w:t>
      </w:r>
      <w:r w:rsidRPr="10CCEB7E">
        <w:rPr>
          <w:rFonts w:ascii="Garamond" w:hAnsi="Garamond"/>
        </w:rPr>
        <w:t xml:space="preserve">: We </w:t>
      </w:r>
      <w:r w:rsidR="00700F10">
        <w:rPr>
          <w:rFonts w:ascii="Garamond" w:hAnsi="Garamond"/>
        </w:rPr>
        <w:t>welcome</w:t>
      </w:r>
      <w:r w:rsidRPr="10CCEB7E">
        <w:rPr>
          <w:rFonts w:ascii="Garamond" w:hAnsi="Garamond"/>
        </w:rPr>
        <w:t xml:space="preserve"> language on HRDs but </w:t>
      </w:r>
      <w:r w:rsidR="00700F10">
        <w:rPr>
          <w:rFonts w:ascii="Garamond" w:hAnsi="Garamond"/>
        </w:rPr>
        <w:t xml:space="preserve">are </w:t>
      </w:r>
      <w:r w:rsidRPr="10CCEB7E">
        <w:rPr>
          <w:rFonts w:ascii="Garamond" w:hAnsi="Garamond"/>
        </w:rPr>
        <w:t xml:space="preserve">concerned that OECD’s approach is not aligned with </w:t>
      </w:r>
      <w:r w:rsidR="001D1D74">
        <w:rPr>
          <w:rFonts w:ascii="Garamond" w:hAnsi="Garamond"/>
        </w:rPr>
        <w:t>and in places</w:t>
      </w:r>
      <w:r w:rsidR="001D1D74" w:rsidRPr="10CCEB7E">
        <w:rPr>
          <w:rFonts w:ascii="Garamond" w:hAnsi="Garamond"/>
        </w:rPr>
        <w:t xml:space="preserve"> </w:t>
      </w:r>
      <w:r w:rsidRPr="10CCEB7E">
        <w:rPr>
          <w:rFonts w:ascii="Garamond" w:hAnsi="Garamond"/>
        </w:rPr>
        <w:t xml:space="preserve">contradicts best practice. </w:t>
      </w:r>
      <w:r w:rsidR="0038577D">
        <w:rPr>
          <w:rFonts w:ascii="Garamond" w:hAnsi="Garamond"/>
        </w:rPr>
        <w:t>T</w:t>
      </w:r>
      <w:r w:rsidRPr="10CCEB7E">
        <w:rPr>
          <w:rFonts w:ascii="Garamond" w:hAnsi="Garamond"/>
        </w:rPr>
        <w:t xml:space="preserve">he language </w:t>
      </w:r>
      <w:r w:rsidR="0038577D">
        <w:rPr>
          <w:rFonts w:ascii="Garamond" w:hAnsi="Garamond"/>
        </w:rPr>
        <w:lastRenderedPageBreak/>
        <w:t xml:space="preserve">should </w:t>
      </w:r>
      <w:r w:rsidRPr="10CCEB7E">
        <w:rPr>
          <w:rFonts w:ascii="Garamond" w:hAnsi="Garamond"/>
        </w:rPr>
        <w:t xml:space="preserve">reinforce existing and widely accepted standards on HRDs and their role in promoting responsible business conduct. </w:t>
      </w:r>
      <w:proofErr w:type="gramStart"/>
      <w:r w:rsidRPr="10CCEB7E">
        <w:rPr>
          <w:rFonts w:ascii="Garamond" w:hAnsi="Garamond"/>
        </w:rPr>
        <w:t xml:space="preserve">In particular, </w:t>
      </w:r>
      <w:r w:rsidR="00700F10">
        <w:rPr>
          <w:rFonts w:ascii="Garamond" w:eastAsia="Times New Roman" w:hAnsi="Garamond" w:cs="Times New Roman"/>
          <w:color w:val="000000" w:themeColor="text1"/>
        </w:rPr>
        <w:t>revisions</w:t>
      </w:r>
      <w:proofErr w:type="gramEnd"/>
      <w:r w:rsidR="00700F10">
        <w:rPr>
          <w:rFonts w:ascii="Garamond" w:eastAsia="Times New Roman" w:hAnsi="Garamond" w:cs="Times New Roman"/>
          <w:color w:val="000000" w:themeColor="text1"/>
        </w:rPr>
        <w:t xml:space="preserve"> should</w:t>
      </w:r>
      <w:r w:rsidRPr="10CCEB7E">
        <w:rPr>
          <w:rFonts w:ascii="Garamond" w:eastAsia="Times New Roman" w:hAnsi="Garamond" w:cs="Times New Roman"/>
          <w:color w:val="000000" w:themeColor="text1"/>
        </w:rPr>
        <w:t xml:space="preserve"> address the following issues: </w:t>
      </w:r>
    </w:p>
    <w:p w14:paraId="1A736454" w14:textId="2A95D5E0" w:rsidR="00BE2DCA" w:rsidRPr="00BE2DCA" w:rsidRDefault="2AD32315" w:rsidP="2AD32315">
      <w:pPr>
        <w:pStyle w:val="ListParagraph"/>
        <w:numPr>
          <w:ilvl w:val="1"/>
          <w:numId w:val="5"/>
        </w:numPr>
        <w:rPr>
          <w:rFonts w:ascii="Garamond" w:eastAsia="Times New Roman" w:hAnsi="Garamond" w:cs="Times New Roman"/>
          <w:color w:val="000000" w:themeColor="text1"/>
        </w:rPr>
      </w:pPr>
      <w:r w:rsidRPr="2AD32315">
        <w:rPr>
          <w:rFonts w:ascii="Garamond" w:eastAsia="Times New Roman" w:hAnsi="Garamond" w:cs="Times New Roman"/>
          <w:color w:val="000000" w:themeColor="text1"/>
        </w:rPr>
        <w:t xml:space="preserve">The term “undue pressure” is problematic not only because it is not found in any other international standard but also it suggests that “due” pressure against HRDs is acceptable. </w:t>
      </w:r>
    </w:p>
    <w:p w14:paraId="556CAFBC" w14:textId="65766B9E" w:rsidR="6B515758" w:rsidRDefault="2AD32315" w:rsidP="2AD32315">
      <w:pPr>
        <w:pStyle w:val="ListParagraph"/>
        <w:numPr>
          <w:ilvl w:val="1"/>
          <w:numId w:val="5"/>
        </w:numPr>
        <w:spacing w:line="259" w:lineRule="auto"/>
        <w:rPr>
          <w:rFonts w:ascii="Garamond" w:eastAsia="Times New Roman" w:hAnsi="Garamond" w:cs="Times New Roman"/>
          <w:color w:val="000000" w:themeColor="text1"/>
        </w:rPr>
      </w:pPr>
      <w:r w:rsidRPr="2AD32315">
        <w:rPr>
          <w:rFonts w:ascii="Garamond" w:eastAsia="Times New Roman" w:hAnsi="Garamond" w:cs="Times New Roman"/>
          <w:color w:val="000000" w:themeColor="text1"/>
        </w:rPr>
        <w:t>Current text suggest</w:t>
      </w:r>
      <w:r w:rsidR="00835AF4">
        <w:rPr>
          <w:rFonts w:ascii="Garamond" w:eastAsia="Times New Roman" w:hAnsi="Garamond" w:cs="Times New Roman"/>
          <w:color w:val="000000" w:themeColor="text1"/>
        </w:rPr>
        <w:t>s</w:t>
      </w:r>
      <w:r w:rsidRPr="2AD32315">
        <w:rPr>
          <w:rFonts w:ascii="Garamond" w:eastAsia="Times New Roman" w:hAnsi="Garamond" w:cs="Times New Roman"/>
          <w:color w:val="000000" w:themeColor="text1"/>
        </w:rPr>
        <w:t xml:space="preserve"> that HRDs may only contest business practices “that contravene the </w:t>
      </w:r>
      <w:proofErr w:type="gramStart"/>
      <w:r w:rsidRPr="2AD32315">
        <w:rPr>
          <w:rFonts w:ascii="Garamond" w:eastAsia="Times New Roman" w:hAnsi="Garamond" w:cs="Times New Roman"/>
          <w:color w:val="000000" w:themeColor="text1"/>
        </w:rPr>
        <w:t>law, or</w:t>
      </w:r>
      <w:proofErr w:type="gramEnd"/>
      <w:r w:rsidRPr="2AD32315">
        <w:rPr>
          <w:rFonts w:ascii="Garamond" w:eastAsia="Times New Roman" w:hAnsi="Garamond" w:cs="Times New Roman"/>
          <w:color w:val="000000" w:themeColor="text1"/>
        </w:rPr>
        <w:t xml:space="preserve"> are inconsistent with the Guidelines.” HRDs should be able to criticize any business practice without fear of retaliation, even when those are legal or consistent with the Guidelines</w:t>
      </w:r>
      <w:r w:rsidR="00781B56">
        <w:rPr>
          <w:rFonts w:ascii="Garamond" w:eastAsia="Times New Roman" w:hAnsi="Garamond" w:cs="Times New Roman"/>
          <w:color w:val="000000" w:themeColor="text1"/>
        </w:rPr>
        <w:t xml:space="preserve"> </w:t>
      </w:r>
      <w:r w:rsidR="00781B56" w:rsidRPr="00781B56">
        <w:rPr>
          <w:rFonts w:ascii="Garamond" w:eastAsia="Times New Roman" w:hAnsi="Garamond" w:cs="Times New Roman"/>
          <w:color w:val="000000" w:themeColor="text1"/>
        </w:rPr>
        <w:t>but may still be opposed by communities</w:t>
      </w:r>
      <w:r w:rsidRPr="2AD32315">
        <w:rPr>
          <w:rFonts w:ascii="Garamond" w:eastAsia="Times New Roman" w:hAnsi="Garamond" w:cs="Times New Roman"/>
          <w:color w:val="000000" w:themeColor="text1"/>
        </w:rPr>
        <w:t xml:space="preserve">. </w:t>
      </w:r>
    </w:p>
    <w:p w14:paraId="57DCA34F" w14:textId="33F85489" w:rsidR="00BE2DCA" w:rsidRPr="00BE2DCA" w:rsidRDefault="00835AF4" w:rsidP="2AD32315">
      <w:pPr>
        <w:pStyle w:val="ListParagraph"/>
        <w:numPr>
          <w:ilvl w:val="1"/>
          <w:numId w:val="5"/>
        </w:numPr>
        <w:spacing w:line="259" w:lineRule="auto"/>
        <w:rPr>
          <w:rFonts w:ascii="Garamond" w:eastAsia="Times New Roman" w:hAnsi="Garamond" w:cs="Times New Roman"/>
          <w:color w:val="000000" w:themeColor="text1"/>
        </w:rPr>
      </w:pPr>
      <w:r>
        <w:rPr>
          <w:rFonts w:ascii="Garamond" w:eastAsia="Times New Roman" w:hAnsi="Garamond" w:cs="Times New Roman"/>
          <w:color w:val="000000" w:themeColor="text1"/>
        </w:rPr>
        <w:t>Respecting the</w:t>
      </w:r>
      <w:r w:rsidR="10CCEB7E" w:rsidRPr="10CCEB7E">
        <w:rPr>
          <w:rFonts w:ascii="Garamond" w:eastAsia="Times New Roman" w:hAnsi="Garamond" w:cs="Times New Roman"/>
          <w:color w:val="000000" w:themeColor="text1"/>
        </w:rPr>
        <w:t xml:space="preserve"> human rights </w:t>
      </w:r>
      <w:r>
        <w:rPr>
          <w:rFonts w:ascii="Garamond" w:eastAsia="Times New Roman" w:hAnsi="Garamond" w:cs="Times New Roman"/>
          <w:color w:val="000000" w:themeColor="text1"/>
        </w:rPr>
        <w:t>of</w:t>
      </w:r>
      <w:r w:rsidR="10CCEB7E" w:rsidRPr="10CCEB7E">
        <w:rPr>
          <w:rFonts w:ascii="Garamond" w:eastAsia="Times New Roman" w:hAnsi="Garamond" w:cs="Times New Roman"/>
          <w:color w:val="000000" w:themeColor="text1"/>
        </w:rPr>
        <w:t xml:space="preserve"> HRDs means not only refraining from retaliation against them, but also avoid</w:t>
      </w:r>
      <w:r>
        <w:rPr>
          <w:rFonts w:ascii="Garamond" w:eastAsia="Times New Roman" w:hAnsi="Garamond" w:cs="Times New Roman"/>
          <w:color w:val="000000" w:themeColor="text1"/>
        </w:rPr>
        <w:t>ing</w:t>
      </w:r>
      <w:r w:rsidR="10CCEB7E" w:rsidRPr="10CCEB7E">
        <w:rPr>
          <w:rFonts w:ascii="Garamond" w:eastAsia="Times New Roman" w:hAnsi="Garamond" w:cs="Times New Roman"/>
          <w:color w:val="000000" w:themeColor="text1"/>
        </w:rPr>
        <w:t xml:space="preserve"> contribut</w:t>
      </w:r>
      <w:r>
        <w:rPr>
          <w:rFonts w:ascii="Garamond" w:eastAsia="Times New Roman" w:hAnsi="Garamond" w:cs="Times New Roman"/>
          <w:color w:val="000000" w:themeColor="text1"/>
        </w:rPr>
        <w:t>ion</w:t>
      </w:r>
      <w:r w:rsidR="10CCEB7E" w:rsidRPr="10CCEB7E">
        <w:rPr>
          <w:rFonts w:ascii="Garamond" w:eastAsia="Times New Roman" w:hAnsi="Garamond" w:cs="Times New Roman"/>
          <w:color w:val="000000" w:themeColor="text1"/>
        </w:rPr>
        <w:t xml:space="preserve"> to adverse impacts and prevent</w:t>
      </w:r>
      <w:r>
        <w:rPr>
          <w:rFonts w:ascii="Garamond" w:eastAsia="Times New Roman" w:hAnsi="Garamond" w:cs="Times New Roman"/>
          <w:color w:val="000000" w:themeColor="text1"/>
        </w:rPr>
        <w:t>ing</w:t>
      </w:r>
      <w:r w:rsidR="10CCEB7E" w:rsidRPr="10CCEB7E">
        <w:rPr>
          <w:rFonts w:ascii="Garamond" w:eastAsia="Times New Roman" w:hAnsi="Garamond" w:cs="Times New Roman"/>
          <w:color w:val="000000" w:themeColor="text1"/>
        </w:rPr>
        <w:t xml:space="preserve"> or mitigat</w:t>
      </w:r>
      <w:r>
        <w:rPr>
          <w:rFonts w:ascii="Garamond" w:eastAsia="Times New Roman" w:hAnsi="Garamond" w:cs="Times New Roman"/>
          <w:color w:val="000000" w:themeColor="text1"/>
        </w:rPr>
        <w:t>ing</w:t>
      </w:r>
      <w:r w:rsidR="10CCEB7E" w:rsidRPr="10CCEB7E">
        <w:rPr>
          <w:rFonts w:ascii="Garamond" w:eastAsia="Times New Roman" w:hAnsi="Garamond" w:cs="Times New Roman"/>
          <w:color w:val="000000" w:themeColor="text1"/>
        </w:rPr>
        <w:t xml:space="preserve"> impacts directly linked by a business relationship, in line with the principles set out in the Guidelines. We encourage you to add language outlining the scope of this responsibility</w:t>
      </w:r>
      <w:r w:rsidR="0038577D">
        <w:rPr>
          <w:rFonts w:ascii="Garamond" w:eastAsia="Times New Roman" w:hAnsi="Garamond" w:cs="Times New Roman"/>
          <w:color w:val="000000" w:themeColor="text1"/>
        </w:rPr>
        <w:t>, including by clarifying the need to, at times, take</w:t>
      </w:r>
      <w:r w:rsidR="10CCEB7E" w:rsidRPr="10CCEB7E">
        <w:rPr>
          <w:rFonts w:ascii="Garamond" w:eastAsia="Times New Roman" w:hAnsi="Garamond" w:cs="Times New Roman"/>
          <w:color w:val="000000" w:themeColor="text1"/>
        </w:rPr>
        <w:t xml:space="preserve"> proactive steps to engage with</w:t>
      </w:r>
      <w:r w:rsidR="0038577D">
        <w:rPr>
          <w:rFonts w:ascii="Garamond" w:eastAsia="Times New Roman" w:hAnsi="Garamond" w:cs="Times New Roman"/>
          <w:color w:val="000000" w:themeColor="text1"/>
        </w:rPr>
        <w:t xml:space="preserve"> and openly acknowledge the legitimacy of</w:t>
      </w:r>
      <w:r w:rsidR="10CCEB7E" w:rsidRPr="10CCEB7E">
        <w:rPr>
          <w:rFonts w:ascii="Garamond" w:eastAsia="Times New Roman" w:hAnsi="Garamond" w:cs="Times New Roman"/>
          <w:color w:val="000000" w:themeColor="text1"/>
        </w:rPr>
        <w:t xml:space="preserve"> HRDs, and </w:t>
      </w:r>
      <w:r w:rsidR="0038577D">
        <w:rPr>
          <w:rFonts w:ascii="Garamond" w:eastAsia="Times New Roman" w:hAnsi="Garamond" w:cs="Times New Roman"/>
          <w:color w:val="000000" w:themeColor="text1"/>
        </w:rPr>
        <w:t xml:space="preserve">to </w:t>
      </w:r>
      <w:r w:rsidR="10CCEB7E" w:rsidRPr="10CCEB7E">
        <w:rPr>
          <w:rFonts w:ascii="Garamond" w:eastAsia="Times New Roman" w:hAnsi="Garamond" w:cs="Times New Roman"/>
          <w:color w:val="000000" w:themeColor="text1"/>
        </w:rPr>
        <w:t>us</w:t>
      </w:r>
      <w:r w:rsidR="0038577D">
        <w:rPr>
          <w:rFonts w:ascii="Garamond" w:eastAsia="Times New Roman" w:hAnsi="Garamond" w:cs="Times New Roman"/>
          <w:color w:val="000000" w:themeColor="text1"/>
        </w:rPr>
        <w:t>e</w:t>
      </w:r>
      <w:r w:rsidR="10CCEB7E" w:rsidRPr="10CCEB7E">
        <w:rPr>
          <w:rFonts w:ascii="Garamond" w:eastAsia="Times New Roman" w:hAnsi="Garamond" w:cs="Times New Roman"/>
          <w:color w:val="000000" w:themeColor="text1"/>
        </w:rPr>
        <w:t xml:space="preserve"> leverage in business relationships, including with governments and private or public security officials.</w:t>
      </w:r>
    </w:p>
    <w:p w14:paraId="467201C3" w14:textId="77777777" w:rsidR="00BE2DCA" w:rsidRPr="00BE2DCA" w:rsidRDefault="00BE2DCA" w:rsidP="00BE2DCA">
      <w:pPr>
        <w:rPr>
          <w:rFonts w:ascii="Garamond" w:hAnsi="Garamond"/>
          <w:b/>
        </w:rPr>
      </w:pPr>
    </w:p>
    <w:p w14:paraId="1EBA7D8B" w14:textId="77777777" w:rsidR="00BE2DCA" w:rsidRPr="00BE2DCA" w:rsidRDefault="00BE2DCA" w:rsidP="00BE2DCA">
      <w:pPr>
        <w:rPr>
          <w:rFonts w:ascii="Garamond" w:hAnsi="Garamond"/>
          <w:b/>
        </w:rPr>
      </w:pPr>
      <w:r w:rsidRPr="00BE2DCA">
        <w:rPr>
          <w:rFonts w:ascii="Garamond" w:hAnsi="Garamond"/>
          <w:b/>
        </w:rPr>
        <w:t>Chapter III: Disclosure</w:t>
      </w:r>
      <w:r w:rsidRPr="00BE2DCA">
        <w:rPr>
          <w:rFonts w:ascii="Garamond" w:hAnsi="Garamond"/>
        </w:rPr>
        <w:t xml:space="preserve"> (max 2000 characters)</w:t>
      </w:r>
    </w:p>
    <w:p w14:paraId="736EFFF4" w14:textId="66763322" w:rsidR="00BE2DCA" w:rsidRDefault="00BE2DCA" w:rsidP="00BE2DCA">
      <w:pPr>
        <w:rPr>
          <w:rFonts w:ascii="Garamond" w:hAnsi="Garamond"/>
          <w:b/>
        </w:rPr>
      </w:pPr>
    </w:p>
    <w:p w14:paraId="5F94942A" w14:textId="174CD5A2" w:rsidR="00A555A8" w:rsidRPr="00781B56" w:rsidRDefault="00A555A8" w:rsidP="00781B56">
      <w:pPr>
        <w:pStyle w:val="ListParagraph"/>
        <w:numPr>
          <w:ilvl w:val="0"/>
          <w:numId w:val="7"/>
        </w:numPr>
        <w:rPr>
          <w:rFonts w:ascii="Garamond" w:hAnsi="Garamond"/>
          <w:b/>
        </w:rPr>
      </w:pPr>
      <w:r>
        <w:rPr>
          <w:rFonts w:ascii="Garamond" w:hAnsi="Garamond"/>
          <w:bCs/>
          <w:u w:val="single"/>
        </w:rPr>
        <w:t xml:space="preserve">Materiality: </w:t>
      </w:r>
      <w:r>
        <w:rPr>
          <w:rFonts w:ascii="Garamond" w:hAnsi="Garamond"/>
          <w:bCs/>
        </w:rPr>
        <w:t xml:space="preserve">We welcome revised language in </w:t>
      </w:r>
      <w:r>
        <w:rPr>
          <w:rFonts w:ascii="Garamond" w:eastAsia="Times New Roman" w:hAnsi="Garamond" w:cs="Times New Roman"/>
          <w:color w:val="000000"/>
        </w:rPr>
        <w:t>¶</w:t>
      </w:r>
      <w:r>
        <w:rPr>
          <w:rFonts w:ascii="Garamond" w:hAnsi="Garamond"/>
          <w:bCs/>
        </w:rPr>
        <w:t>30-3</w:t>
      </w:r>
      <w:r w:rsidR="00CB05A6">
        <w:rPr>
          <w:rFonts w:ascii="Garamond" w:hAnsi="Garamond"/>
          <w:bCs/>
        </w:rPr>
        <w:t>2</w:t>
      </w:r>
      <w:r>
        <w:rPr>
          <w:rFonts w:ascii="Garamond" w:hAnsi="Garamond"/>
          <w:bCs/>
        </w:rPr>
        <w:t xml:space="preserve"> that </w:t>
      </w:r>
      <w:r w:rsidR="00CC3A2B">
        <w:rPr>
          <w:rFonts w:ascii="Garamond" w:hAnsi="Garamond"/>
          <w:bCs/>
        </w:rPr>
        <w:t>clarifies the concept of materiality and specifies that information related to RBC issues and due diligence should be considered material if it can reasonably be expected to influence an investor’s investment decisions</w:t>
      </w:r>
      <w:r w:rsidR="00C97657">
        <w:rPr>
          <w:rFonts w:ascii="Garamond" w:hAnsi="Garamond"/>
          <w:bCs/>
        </w:rPr>
        <w:t>, and that this materiality assessment may evolve over time according to societal and legal contexts</w:t>
      </w:r>
      <w:r w:rsidR="00CC3A2B">
        <w:rPr>
          <w:rFonts w:ascii="Garamond" w:hAnsi="Garamond"/>
          <w:bCs/>
        </w:rPr>
        <w:t xml:space="preserve">. However, </w:t>
      </w:r>
      <w:r w:rsidR="00C97657">
        <w:rPr>
          <w:rFonts w:ascii="Garamond" w:hAnsi="Garamond"/>
          <w:bCs/>
        </w:rPr>
        <w:t>the disclosure framework established by the OECD should go beyond this traditional materiality standard to instead align with the principle of double materiality, which pays equal heed to the risks and impacts of corporate activities on human rights and the environment as it does to enterprise value. While human rights and environmental risks associated with a company’s operations are sometimes considered financially material, they often are not</w:t>
      </w:r>
      <w:r w:rsidR="00B8220A">
        <w:rPr>
          <w:rFonts w:ascii="Garamond" w:hAnsi="Garamond"/>
          <w:bCs/>
        </w:rPr>
        <w:t xml:space="preserve"> </w:t>
      </w:r>
      <w:r w:rsidR="00C97657">
        <w:rPr>
          <w:rFonts w:ascii="Garamond" w:hAnsi="Garamond"/>
          <w:bCs/>
        </w:rPr>
        <w:t xml:space="preserve">unless they pose a significant risk to an enterprise’s value or profit margins.  </w:t>
      </w:r>
      <w:r w:rsidR="00CB05A6">
        <w:rPr>
          <w:rFonts w:ascii="Garamond" w:hAnsi="Garamond"/>
          <w:bCs/>
        </w:rPr>
        <w:t>Corporate</w:t>
      </w:r>
      <w:r w:rsidR="00C97657">
        <w:rPr>
          <w:rFonts w:ascii="Garamond" w:hAnsi="Garamond"/>
          <w:bCs/>
        </w:rPr>
        <w:t xml:space="preserve"> reporting on these issues </w:t>
      </w:r>
      <w:r w:rsidR="00CB05A6">
        <w:rPr>
          <w:rFonts w:ascii="Garamond" w:hAnsi="Garamond"/>
          <w:bCs/>
        </w:rPr>
        <w:t xml:space="preserve">should </w:t>
      </w:r>
      <w:r w:rsidR="00C97657" w:rsidRPr="00781B56">
        <w:rPr>
          <w:rFonts w:ascii="Garamond" w:hAnsi="Garamond"/>
          <w:bCs/>
        </w:rPr>
        <w:t>be divorced from financial considerations, in line with the expectations of the UNGPs.</w:t>
      </w:r>
    </w:p>
    <w:p w14:paraId="2C719596" w14:textId="77777777" w:rsidR="00A555A8" w:rsidRPr="00BE2DCA" w:rsidRDefault="00A555A8" w:rsidP="00BE2DCA">
      <w:pPr>
        <w:rPr>
          <w:rFonts w:ascii="Garamond" w:hAnsi="Garamond"/>
          <w:b/>
        </w:rPr>
      </w:pPr>
    </w:p>
    <w:p w14:paraId="045E3845" w14:textId="77777777" w:rsidR="00BE2DCA" w:rsidRPr="00BE2DCA" w:rsidRDefault="10CCEB7E" w:rsidP="10CCEB7E">
      <w:pPr>
        <w:rPr>
          <w:rFonts w:ascii="Garamond" w:hAnsi="Garamond"/>
          <w:b/>
          <w:bCs/>
        </w:rPr>
      </w:pPr>
      <w:r w:rsidRPr="10CCEB7E">
        <w:rPr>
          <w:rFonts w:ascii="Garamond" w:hAnsi="Garamond"/>
          <w:b/>
          <w:bCs/>
        </w:rPr>
        <w:t>Chapter IV: Human Rights</w:t>
      </w:r>
      <w:r w:rsidRPr="10CCEB7E">
        <w:rPr>
          <w:rFonts w:ascii="Garamond" w:hAnsi="Garamond"/>
        </w:rPr>
        <w:t xml:space="preserve"> (max 2000 characters)</w:t>
      </w:r>
    </w:p>
    <w:p w14:paraId="43AA2F70" w14:textId="33980BF7" w:rsidR="10CCEB7E" w:rsidRDefault="10CCEB7E" w:rsidP="10CCEB7E">
      <w:pPr>
        <w:rPr>
          <w:rFonts w:ascii="Garamond" w:hAnsi="Garamond"/>
        </w:rPr>
      </w:pPr>
    </w:p>
    <w:p w14:paraId="50577119" w14:textId="187F1D07" w:rsidR="10CCEB7E" w:rsidRDefault="5F63BC36" w:rsidP="10CCEB7E">
      <w:pPr>
        <w:pStyle w:val="ListParagraph"/>
        <w:numPr>
          <w:ilvl w:val="0"/>
          <w:numId w:val="1"/>
        </w:numPr>
        <w:rPr>
          <w:rFonts w:ascii="Garamond" w:hAnsi="Garamond"/>
        </w:rPr>
      </w:pPr>
      <w:r w:rsidRPr="5F63BC36">
        <w:rPr>
          <w:rFonts w:ascii="Garamond" w:hAnsi="Garamond"/>
          <w:u w:val="single"/>
        </w:rPr>
        <w:t xml:space="preserve">Human rights due diligence </w:t>
      </w:r>
      <w:r w:rsidR="008F1D28">
        <w:rPr>
          <w:rFonts w:ascii="Garamond" w:hAnsi="Garamond"/>
          <w:u w:val="single"/>
        </w:rPr>
        <w:t>and</w:t>
      </w:r>
      <w:r w:rsidRPr="5F63BC36">
        <w:rPr>
          <w:rFonts w:ascii="Garamond" w:hAnsi="Garamond"/>
          <w:u w:val="single"/>
        </w:rPr>
        <w:t xml:space="preserve"> human rights defenders</w:t>
      </w:r>
      <w:r w:rsidRPr="5F63BC36">
        <w:rPr>
          <w:rFonts w:ascii="Garamond" w:hAnsi="Garamond"/>
        </w:rPr>
        <w:t xml:space="preserve">: HRDs, along with community leaders, are an important expert resource for human rights due diligence, enabling MNEs to better understand concerns and expectations of local stakeholders and thus more accurately identify and address potential and actual adverse impacts on them. We encourage you to add new language to the commentary to openly acknowledge the active role HRDs can play in human right due diligence process. The commentary should also reference the expectations laid out in Chapter II </w:t>
      </w:r>
      <w:proofErr w:type="gramStart"/>
      <w:r w:rsidRPr="5F63BC36">
        <w:rPr>
          <w:rFonts w:ascii="Garamond" w:hAnsi="Garamond"/>
        </w:rPr>
        <w:t>with regard to</w:t>
      </w:r>
      <w:proofErr w:type="gramEnd"/>
      <w:r w:rsidRPr="5F63BC36">
        <w:rPr>
          <w:rFonts w:ascii="Garamond" w:hAnsi="Garamond"/>
        </w:rPr>
        <w:t xml:space="preserve"> respecting and protecting HRDs.</w:t>
      </w:r>
    </w:p>
    <w:p w14:paraId="5E3339C6" w14:textId="5E9AE838" w:rsidR="00473EDF" w:rsidRPr="00781B56" w:rsidRDefault="00473EDF" w:rsidP="10CCEB7E">
      <w:pPr>
        <w:pStyle w:val="ListParagraph"/>
        <w:numPr>
          <w:ilvl w:val="0"/>
          <w:numId w:val="1"/>
        </w:numPr>
        <w:rPr>
          <w:rFonts w:ascii="Garamond" w:hAnsi="Garamond"/>
        </w:rPr>
      </w:pPr>
      <w:r w:rsidRPr="00781B56">
        <w:rPr>
          <w:rFonts w:ascii="Garamond" w:hAnsi="Garamond"/>
          <w:u w:val="single"/>
        </w:rPr>
        <w:t>Land and resource security</w:t>
      </w:r>
      <w:r>
        <w:rPr>
          <w:rFonts w:ascii="Garamond" w:hAnsi="Garamond"/>
        </w:rPr>
        <w:t>:</w:t>
      </w:r>
      <w:r>
        <w:rPr>
          <w:rFonts w:ascii="Garamond" w:hAnsi="Garamond"/>
          <w:u w:val="single"/>
        </w:rPr>
        <w:t xml:space="preserve"> </w:t>
      </w:r>
      <w:r w:rsidRPr="00781B56">
        <w:rPr>
          <w:rFonts w:ascii="Garamond" w:hAnsi="Garamond"/>
        </w:rPr>
        <w:t>Land and natural resource security underpins the realization of numerous other human rights</w:t>
      </w:r>
      <w:r w:rsidR="00256EB3">
        <w:rPr>
          <w:rFonts w:ascii="Garamond" w:hAnsi="Garamond"/>
        </w:rPr>
        <w:t xml:space="preserve"> and are frequently affected by the activities of MNEs</w:t>
      </w:r>
      <w:r w:rsidRPr="00781B56">
        <w:rPr>
          <w:rFonts w:ascii="Garamond" w:hAnsi="Garamond"/>
        </w:rPr>
        <w:t xml:space="preserve">. </w:t>
      </w:r>
      <w:r w:rsidRPr="00781B56">
        <w:rPr>
          <w:rFonts w:ascii="Garamond" w:hAnsi="Garamond"/>
        </w:rPr>
        <w:lastRenderedPageBreak/>
        <w:t xml:space="preserve">Therefore, </w:t>
      </w:r>
      <w:r w:rsidR="00256EB3">
        <w:rPr>
          <w:rFonts w:ascii="Garamond" w:hAnsi="Garamond"/>
        </w:rPr>
        <w:t xml:space="preserve">we recommend that Chapter VI explicitly urge MNEs to fully implement the VGGTs and other applicable human rights instruments as relevant to their operations.  </w:t>
      </w:r>
    </w:p>
    <w:p w14:paraId="019AA4FE" w14:textId="52D9CEB0" w:rsidR="00DA570B" w:rsidRDefault="00DA570B" w:rsidP="10CCEB7E">
      <w:pPr>
        <w:pStyle w:val="ListParagraph"/>
        <w:numPr>
          <w:ilvl w:val="0"/>
          <w:numId w:val="1"/>
        </w:numPr>
        <w:rPr>
          <w:rFonts w:ascii="Garamond" w:hAnsi="Garamond"/>
        </w:rPr>
      </w:pPr>
      <w:r>
        <w:rPr>
          <w:rFonts w:ascii="Garamond" w:hAnsi="Garamond"/>
          <w:u w:val="single"/>
        </w:rPr>
        <w:t>Indigenous Peoples rights:</w:t>
      </w:r>
      <w:r>
        <w:rPr>
          <w:rFonts w:ascii="Garamond" w:hAnsi="Garamond"/>
        </w:rPr>
        <w:t xml:space="preserve"> </w:t>
      </w:r>
      <w:r w:rsidR="00336651">
        <w:rPr>
          <w:rFonts w:ascii="Garamond" w:hAnsi="Garamond"/>
        </w:rPr>
        <w:t>We welcome the recognition of</w:t>
      </w:r>
      <w:r w:rsidR="003B0E0E">
        <w:rPr>
          <w:rFonts w:ascii="Garamond" w:hAnsi="Garamond"/>
        </w:rPr>
        <w:t xml:space="preserve"> MNEs</w:t>
      </w:r>
      <w:r w:rsidR="00753CF8">
        <w:rPr>
          <w:rFonts w:ascii="Garamond" w:hAnsi="Garamond"/>
        </w:rPr>
        <w:t>’</w:t>
      </w:r>
      <w:r w:rsidR="003B0E0E">
        <w:rPr>
          <w:rFonts w:ascii="Garamond" w:hAnsi="Garamond"/>
        </w:rPr>
        <w:t xml:space="preserve"> responsibility to take additional steps to assess and address human rights impacts on Indigenous Peoples, among other vulnerable groups, and the specific reference to UNDRIP. However, the updates should go further, to recognize the unique rights of self-identified Indigenous Peoples</w:t>
      </w:r>
      <w:r w:rsidR="0005745B">
        <w:rPr>
          <w:rFonts w:ascii="Garamond" w:hAnsi="Garamond"/>
        </w:rPr>
        <w:t xml:space="preserve"> to </w:t>
      </w:r>
      <w:r w:rsidR="003B0E0E">
        <w:rPr>
          <w:rFonts w:ascii="Garamond" w:hAnsi="Garamond"/>
        </w:rPr>
        <w:t xml:space="preserve">self-determination and </w:t>
      </w:r>
      <w:r w:rsidR="0005745B">
        <w:rPr>
          <w:rFonts w:ascii="Garamond" w:hAnsi="Garamond"/>
        </w:rPr>
        <w:t xml:space="preserve">the rights of Indigenous Peoples and </w:t>
      </w:r>
      <w:r w:rsidR="00EA0CC4">
        <w:rPr>
          <w:rFonts w:ascii="Garamond" w:hAnsi="Garamond"/>
        </w:rPr>
        <w:t>tribal/</w:t>
      </w:r>
      <w:r w:rsidR="0005745B">
        <w:rPr>
          <w:rFonts w:ascii="Garamond" w:hAnsi="Garamond"/>
        </w:rPr>
        <w:t>customary communities to FPIC</w:t>
      </w:r>
      <w:r w:rsidR="00EA0CC4">
        <w:rPr>
          <w:rFonts w:ascii="Garamond" w:hAnsi="Garamond"/>
        </w:rPr>
        <w:t>. A</w:t>
      </w:r>
      <w:r w:rsidR="003B0E0E">
        <w:rPr>
          <w:rFonts w:ascii="Garamond" w:hAnsi="Garamond"/>
        </w:rPr>
        <w:t xml:space="preserve">dditional guidance </w:t>
      </w:r>
      <w:r w:rsidR="00EA0CC4">
        <w:rPr>
          <w:rFonts w:ascii="Garamond" w:hAnsi="Garamond"/>
        </w:rPr>
        <w:t xml:space="preserve">should be provided </w:t>
      </w:r>
      <w:r w:rsidR="003B0E0E">
        <w:rPr>
          <w:rFonts w:ascii="Garamond" w:hAnsi="Garamond"/>
        </w:rPr>
        <w:t xml:space="preserve">to MNEs regarding the need to identify vulnerable populations, including Indigenous Peoples, remove barriers to participation and address the unique adverse impacts </w:t>
      </w:r>
      <w:r w:rsidR="006D2C47">
        <w:rPr>
          <w:rFonts w:ascii="Garamond" w:hAnsi="Garamond"/>
        </w:rPr>
        <w:t>on</w:t>
      </w:r>
      <w:r w:rsidR="003B0E0E">
        <w:rPr>
          <w:rFonts w:ascii="Garamond" w:hAnsi="Garamond"/>
        </w:rPr>
        <w:t xml:space="preserve"> such populations.</w:t>
      </w:r>
    </w:p>
    <w:p w14:paraId="2DA14FA9" w14:textId="77777777" w:rsidR="00BE2DCA" w:rsidRPr="00BE2DCA" w:rsidRDefault="00BE2DCA" w:rsidP="00BE2DCA">
      <w:pPr>
        <w:rPr>
          <w:rFonts w:ascii="Garamond" w:hAnsi="Garamond"/>
          <w:b/>
        </w:rPr>
      </w:pPr>
    </w:p>
    <w:p w14:paraId="2079E0C3" w14:textId="77777777" w:rsidR="00BE2DCA" w:rsidRPr="00BE2DCA" w:rsidRDefault="00BE2DCA" w:rsidP="00BE2DCA">
      <w:pPr>
        <w:rPr>
          <w:rFonts w:ascii="Garamond" w:hAnsi="Garamond"/>
          <w:b/>
        </w:rPr>
      </w:pPr>
      <w:r w:rsidRPr="00BE2DCA">
        <w:rPr>
          <w:rFonts w:ascii="Garamond" w:hAnsi="Garamond"/>
          <w:b/>
        </w:rPr>
        <w:t>Chapter V: Employment and Industrial Relations</w:t>
      </w:r>
      <w:r w:rsidRPr="00BE2DCA">
        <w:rPr>
          <w:rFonts w:ascii="Garamond" w:hAnsi="Garamond"/>
        </w:rPr>
        <w:t xml:space="preserve"> (max 2000 characters)</w:t>
      </w:r>
    </w:p>
    <w:p w14:paraId="7EB04E8F" w14:textId="77777777" w:rsidR="00BE2DCA" w:rsidRPr="00BE2DCA" w:rsidRDefault="00BE2DCA" w:rsidP="00BE2DCA">
      <w:pPr>
        <w:rPr>
          <w:rFonts w:ascii="Garamond" w:hAnsi="Garamond"/>
          <w:b/>
        </w:rPr>
      </w:pPr>
    </w:p>
    <w:p w14:paraId="4CC2CD38" w14:textId="77777777" w:rsidR="00BE2DCA" w:rsidRDefault="00BE2DCA" w:rsidP="00BE2DCA">
      <w:pPr>
        <w:rPr>
          <w:rFonts w:ascii="Garamond" w:hAnsi="Garamond"/>
        </w:rPr>
      </w:pPr>
      <w:r w:rsidRPr="00BE2DCA">
        <w:rPr>
          <w:rFonts w:ascii="Garamond" w:hAnsi="Garamond"/>
          <w:b/>
        </w:rPr>
        <w:t>Chapter VI: Environment</w:t>
      </w:r>
      <w:r w:rsidRPr="00BE2DCA">
        <w:rPr>
          <w:rFonts w:ascii="Garamond" w:hAnsi="Garamond"/>
        </w:rPr>
        <w:t xml:space="preserve"> (max 2000 characters)</w:t>
      </w:r>
    </w:p>
    <w:p w14:paraId="5AD6D2D4" w14:textId="77777777" w:rsidR="00862E5E" w:rsidRDefault="00862E5E" w:rsidP="00BE2DCA">
      <w:pPr>
        <w:rPr>
          <w:rFonts w:ascii="Garamond" w:hAnsi="Garamond"/>
        </w:rPr>
      </w:pPr>
    </w:p>
    <w:p w14:paraId="426C309D" w14:textId="7FB7E33C" w:rsidR="00245F8C" w:rsidRPr="000B3683" w:rsidRDefault="00245F8C" w:rsidP="000B3683">
      <w:pPr>
        <w:pStyle w:val="ListParagraph"/>
        <w:numPr>
          <w:ilvl w:val="0"/>
          <w:numId w:val="6"/>
        </w:numPr>
        <w:rPr>
          <w:rFonts w:ascii="Garamond" w:hAnsi="Garamond"/>
          <w:b/>
        </w:rPr>
      </w:pPr>
      <w:r>
        <w:rPr>
          <w:rFonts w:ascii="Garamond" w:hAnsi="Garamond"/>
          <w:u w:val="single"/>
        </w:rPr>
        <w:t>Land and resource rights:</w:t>
      </w:r>
      <w:r w:rsidR="00490478">
        <w:rPr>
          <w:rFonts w:ascii="Garamond" w:hAnsi="Garamond"/>
        </w:rPr>
        <w:t xml:space="preserve"> We welcome the reference in the commentary to the VGGTs </w:t>
      </w:r>
      <w:r w:rsidR="00C32FE5">
        <w:rPr>
          <w:rFonts w:ascii="Garamond" w:hAnsi="Garamond"/>
        </w:rPr>
        <w:t>and suggest streng</w:t>
      </w:r>
      <w:r w:rsidR="00256EB3">
        <w:rPr>
          <w:rFonts w:ascii="Garamond" w:hAnsi="Garamond"/>
        </w:rPr>
        <w:t>then</w:t>
      </w:r>
      <w:r w:rsidR="00C32FE5">
        <w:rPr>
          <w:rFonts w:ascii="Garamond" w:hAnsi="Garamond"/>
        </w:rPr>
        <w:t>ing the language</w:t>
      </w:r>
      <w:r w:rsidR="00256EB3">
        <w:rPr>
          <w:rFonts w:ascii="Garamond" w:hAnsi="Garamond"/>
        </w:rPr>
        <w:t xml:space="preserve"> to </w:t>
      </w:r>
      <w:proofErr w:type="gramStart"/>
      <w:r w:rsidR="00256EB3">
        <w:rPr>
          <w:rFonts w:ascii="Garamond" w:hAnsi="Garamond"/>
        </w:rPr>
        <w:t>more strongly urge MNEs</w:t>
      </w:r>
      <w:proofErr w:type="gramEnd"/>
      <w:r w:rsidR="00256EB3">
        <w:rPr>
          <w:rFonts w:ascii="Garamond" w:hAnsi="Garamond"/>
        </w:rPr>
        <w:t xml:space="preserve"> to fully implement the VGGTs as applicable to their operations and activities. We further recommend that this reference also be incorporated into the Human Rights Chapter reflecting the importance of respect for land and resource rights as a precursor to other human rights. </w:t>
      </w:r>
    </w:p>
    <w:p w14:paraId="2CF015A5" w14:textId="3A15796E" w:rsidR="00862E5E" w:rsidRPr="004F375C" w:rsidRDefault="5F63BC36" w:rsidP="004F375C">
      <w:pPr>
        <w:pStyle w:val="ListParagraph"/>
        <w:numPr>
          <w:ilvl w:val="0"/>
          <w:numId w:val="6"/>
        </w:numPr>
        <w:rPr>
          <w:rFonts w:ascii="Garamond" w:hAnsi="Garamond"/>
          <w:b/>
          <w:bCs/>
        </w:rPr>
      </w:pPr>
      <w:r w:rsidRPr="5F63BC36">
        <w:rPr>
          <w:rFonts w:ascii="Garamond" w:hAnsi="Garamond"/>
          <w:u w:val="single"/>
        </w:rPr>
        <w:t>Environmental and land rights defenders</w:t>
      </w:r>
      <w:r w:rsidRPr="5F63BC36">
        <w:rPr>
          <w:rFonts w:ascii="Garamond" w:hAnsi="Garamond"/>
        </w:rPr>
        <w:t>: HRDs focused on environmental and land rights issues are among the most vulnerable to serious retaliation. According to Global Witness, more than 1,700 such HRDs were killed between 2012 and 2021, an average of one defender killed approximately every two days over 10 years. We encourage you to add new language to the commentary specifically addressing the vulnerability of environmental and land rights defenders and calling attention to MNEs</w:t>
      </w:r>
      <w:r w:rsidR="00753CF8">
        <w:rPr>
          <w:rFonts w:ascii="Garamond" w:hAnsi="Garamond"/>
        </w:rPr>
        <w:t>’</w:t>
      </w:r>
      <w:r w:rsidRPr="5F63BC36">
        <w:rPr>
          <w:rFonts w:ascii="Garamond" w:hAnsi="Garamond"/>
        </w:rPr>
        <w:t xml:space="preserve"> responsibilities </w:t>
      </w:r>
      <w:proofErr w:type="gramStart"/>
      <w:r w:rsidRPr="5F63BC36">
        <w:rPr>
          <w:rFonts w:ascii="Garamond" w:hAnsi="Garamond"/>
        </w:rPr>
        <w:t>with regard to</w:t>
      </w:r>
      <w:proofErr w:type="gramEnd"/>
      <w:r w:rsidRPr="5F63BC36">
        <w:rPr>
          <w:rFonts w:ascii="Garamond" w:hAnsi="Garamond"/>
        </w:rPr>
        <w:t xml:space="preserve"> HRDs, as laid out in Chapters II and IV.    </w:t>
      </w:r>
    </w:p>
    <w:p w14:paraId="51E80DE2" w14:textId="0D1259E8" w:rsidR="00E654AE" w:rsidRPr="004F375C" w:rsidRDefault="00E654AE" w:rsidP="004F375C">
      <w:pPr>
        <w:pStyle w:val="ListParagraph"/>
        <w:numPr>
          <w:ilvl w:val="0"/>
          <w:numId w:val="6"/>
        </w:numPr>
        <w:rPr>
          <w:rFonts w:ascii="Garamond" w:hAnsi="Garamond"/>
          <w:b/>
        </w:rPr>
      </w:pPr>
      <w:r>
        <w:rPr>
          <w:rFonts w:ascii="Garamond" w:hAnsi="Garamond"/>
          <w:u w:val="single"/>
        </w:rPr>
        <w:t>Just transition:</w:t>
      </w:r>
      <w:r>
        <w:rPr>
          <w:rFonts w:ascii="Garamond" w:hAnsi="Garamond"/>
        </w:rPr>
        <w:t xml:space="preserve"> </w:t>
      </w:r>
      <w:r w:rsidR="00543225">
        <w:rPr>
          <w:rFonts w:ascii="Garamond" w:hAnsi="Garamond"/>
        </w:rPr>
        <w:t>While we welcome references to a just transition, the text needs to be strengthened to clarify MNEs</w:t>
      </w:r>
      <w:r w:rsidR="00753CF8">
        <w:rPr>
          <w:rFonts w:ascii="Garamond" w:hAnsi="Garamond"/>
        </w:rPr>
        <w:t>’</w:t>
      </w:r>
      <w:r w:rsidR="00543225">
        <w:rPr>
          <w:rFonts w:ascii="Garamond" w:hAnsi="Garamond"/>
        </w:rPr>
        <w:t xml:space="preserve"> responsibilities. The text should clearly define </w:t>
      </w:r>
      <w:r w:rsidR="00753CF8">
        <w:rPr>
          <w:rFonts w:ascii="Garamond" w:hAnsi="Garamond"/>
        </w:rPr>
        <w:t>“</w:t>
      </w:r>
      <w:r w:rsidR="00543225">
        <w:rPr>
          <w:rFonts w:ascii="Garamond" w:hAnsi="Garamond"/>
        </w:rPr>
        <w:t>just transition</w:t>
      </w:r>
      <w:r w:rsidR="00753CF8">
        <w:rPr>
          <w:rFonts w:ascii="Garamond" w:hAnsi="Garamond"/>
        </w:rPr>
        <w:t>”</w:t>
      </w:r>
      <w:r w:rsidR="00543225">
        <w:rPr>
          <w:rFonts w:ascii="Garamond" w:hAnsi="Garamond"/>
        </w:rPr>
        <w:t xml:space="preserve"> and artic</w:t>
      </w:r>
      <w:r w:rsidR="002F0583">
        <w:rPr>
          <w:rFonts w:ascii="Garamond" w:hAnsi="Garamond"/>
        </w:rPr>
        <w:t xml:space="preserve">ulate the expectation that MNEs identify and address any adverse impacts both from their actions to address climate change, as well as in the extraction, </w:t>
      </w:r>
      <w:proofErr w:type="gramStart"/>
      <w:r w:rsidR="002F0583">
        <w:rPr>
          <w:rFonts w:ascii="Garamond" w:hAnsi="Garamond"/>
        </w:rPr>
        <w:t>production</w:t>
      </w:r>
      <w:proofErr w:type="gramEnd"/>
      <w:r w:rsidR="002F0583">
        <w:rPr>
          <w:rFonts w:ascii="Garamond" w:hAnsi="Garamond"/>
        </w:rPr>
        <w:t xml:space="preserve"> or use of natural resources and/or renewable energy to be used as part of the global </w:t>
      </w:r>
      <w:r w:rsidR="00913295">
        <w:rPr>
          <w:rFonts w:ascii="Garamond" w:hAnsi="Garamond"/>
        </w:rPr>
        <w:t xml:space="preserve">energy </w:t>
      </w:r>
      <w:r w:rsidR="002F0583">
        <w:rPr>
          <w:rFonts w:ascii="Garamond" w:hAnsi="Garamond"/>
        </w:rPr>
        <w:t>transition. The text should also promote equitable access to benefits derived from natural resource exploitation, particularly for directly affected communities.</w:t>
      </w:r>
    </w:p>
    <w:p w14:paraId="6847AE30" w14:textId="77777777" w:rsidR="00BE2DCA" w:rsidRPr="00BE2DCA" w:rsidRDefault="00BE2DCA" w:rsidP="00BE2DCA">
      <w:pPr>
        <w:rPr>
          <w:rFonts w:ascii="Garamond" w:hAnsi="Garamond"/>
          <w:b/>
        </w:rPr>
      </w:pPr>
    </w:p>
    <w:p w14:paraId="20F26744" w14:textId="77777777" w:rsidR="00BE2DCA" w:rsidRPr="00BE2DCA" w:rsidRDefault="00BE2DCA" w:rsidP="00BE2DCA">
      <w:pPr>
        <w:rPr>
          <w:rFonts w:ascii="Garamond" w:hAnsi="Garamond"/>
          <w:b/>
        </w:rPr>
      </w:pPr>
      <w:r w:rsidRPr="00BE2DCA">
        <w:rPr>
          <w:rFonts w:ascii="Garamond" w:hAnsi="Garamond"/>
          <w:b/>
        </w:rPr>
        <w:t>Chapter VII: Combatting Bribery, Bribe Solicitation and Extortion</w:t>
      </w:r>
      <w:r w:rsidRPr="00BE2DCA">
        <w:rPr>
          <w:rFonts w:ascii="Garamond" w:hAnsi="Garamond"/>
        </w:rPr>
        <w:t xml:space="preserve"> (max 2000 characters)</w:t>
      </w:r>
    </w:p>
    <w:p w14:paraId="0E7070E6" w14:textId="77777777" w:rsidR="00BE2DCA" w:rsidRPr="00BE2DCA" w:rsidRDefault="00BE2DCA" w:rsidP="00BE2DCA">
      <w:pPr>
        <w:rPr>
          <w:rFonts w:ascii="Garamond" w:hAnsi="Garamond"/>
          <w:b/>
        </w:rPr>
      </w:pPr>
    </w:p>
    <w:p w14:paraId="0AA7EF31" w14:textId="77777777" w:rsidR="00BE2DCA" w:rsidRPr="00BE2DCA" w:rsidRDefault="00BE2DCA" w:rsidP="00BE2DCA">
      <w:pPr>
        <w:rPr>
          <w:rFonts w:ascii="Garamond" w:hAnsi="Garamond"/>
          <w:b/>
        </w:rPr>
      </w:pPr>
      <w:r w:rsidRPr="00BE2DCA">
        <w:rPr>
          <w:rFonts w:ascii="Garamond" w:hAnsi="Garamond"/>
          <w:b/>
        </w:rPr>
        <w:t>Chapter VIII: Consumer Interests</w:t>
      </w:r>
      <w:r w:rsidRPr="00BE2DCA">
        <w:rPr>
          <w:rFonts w:ascii="Garamond" w:hAnsi="Garamond"/>
        </w:rPr>
        <w:t xml:space="preserve"> (max 2000 characters)</w:t>
      </w:r>
    </w:p>
    <w:p w14:paraId="678FD0CA" w14:textId="77777777" w:rsidR="00BE2DCA" w:rsidRPr="00BE2DCA" w:rsidRDefault="00BE2DCA" w:rsidP="00BE2DCA">
      <w:pPr>
        <w:rPr>
          <w:rFonts w:ascii="Garamond" w:hAnsi="Garamond"/>
          <w:b/>
        </w:rPr>
      </w:pPr>
    </w:p>
    <w:p w14:paraId="1349B2BF" w14:textId="77777777" w:rsidR="00BE2DCA" w:rsidRPr="00BE2DCA" w:rsidRDefault="00BE2DCA" w:rsidP="00BE2DCA">
      <w:pPr>
        <w:rPr>
          <w:rFonts w:ascii="Garamond" w:hAnsi="Garamond"/>
          <w:b/>
        </w:rPr>
      </w:pPr>
      <w:r w:rsidRPr="00BE2DCA">
        <w:rPr>
          <w:rFonts w:ascii="Garamond" w:hAnsi="Garamond"/>
          <w:b/>
        </w:rPr>
        <w:t xml:space="preserve">Chapter IX: Science, </w:t>
      </w:r>
      <w:proofErr w:type="gramStart"/>
      <w:r w:rsidRPr="00BE2DCA">
        <w:rPr>
          <w:rFonts w:ascii="Garamond" w:hAnsi="Garamond"/>
          <w:b/>
        </w:rPr>
        <w:t>Technology</w:t>
      </w:r>
      <w:proofErr w:type="gramEnd"/>
      <w:r w:rsidRPr="00BE2DCA">
        <w:rPr>
          <w:rFonts w:ascii="Garamond" w:hAnsi="Garamond"/>
          <w:b/>
        </w:rPr>
        <w:t xml:space="preserve"> and Innovation</w:t>
      </w:r>
      <w:r w:rsidRPr="00BE2DCA">
        <w:rPr>
          <w:rFonts w:ascii="Garamond" w:hAnsi="Garamond"/>
        </w:rPr>
        <w:t xml:space="preserve"> (max 2000 characters)</w:t>
      </w:r>
    </w:p>
    <w:p w14:paraId="0D5B094E" w14:textId="77777777" w:rsidR="00BE2DCA" w:rsidRPr="00BE2DCA" w:rsidRDefault="00BE2DCA" w:rsidP="00BE2DCA">
      <w:pPr>
        <w:rPr>
          <w:rFonts w:ascii="Garamond" w:hAnsi="Garamond"/>
          <w:b/>
        </w:rPr>
      </w:pPr>
    </w:p>
    <w:p w14:paraId="7880A67C" w14:textId="77777777" w:rsidR="00BE2DCA" w:rsidRPr="00BE2DCA" w:rsidRDefault="00BE2DCA" w:rsidP="00BE2DCA">
      <w:pPr>
        <w:rPr>
          <w:rFonts w:ascii="Garamond" w:hAnsi="Garamond"/>
          <w:b/>
        </w:rPr>
      </w:pPr>
      <w:r w:rsidRPr="00BE2DCA">
        <w:rPr>
          <w:rFonts w:ascii="Garamond" w:hAnsi="Garamond"/>
          <w:b/>
        </w:rPr>
        <w:t>Chapter X: Competition</w:t>
      </w:r>
      <w:r w:rsidRPr="00BE2DCA">
        <w:rPr>
          <w:rFonts w:ascii="Garamond" w:hAnsi="Garamond"/>
        </w:rPr>
        <w:t xml:space="preserve"> (max 2000 characters)</w:t>
      </w:r>
    </w:p>
    <w:p w14:paraId="7A7FE93D" w14:textId="77777777" w:rsidR="00BE2DCA" w:rsidRPr="00BE2DCA" w:rsidRDefault="00BE2DCA" w:rsidP="00BE2DCA">
      <w:pPr>
        <w:rPr>
          <w:rFonts w:ascii="Garamond" w:hAnsi="Garamond"/>
          <w:b/>
        </w:rPr>
      </w:pPr>
    </w:p>
    <w:p w14:paraId="1823D5A7" w14:textId="77777777" w:rsidR="00BE2DCA" w:rsidRPr="00BE2DCA" w:rsidRDefault="00BE2DCA" w:rsidP="00BE2DCA">
      <w:pPr>
        <w:rPr>
          <w:rFonts w:ascii="Garamond" w:hAnsi="Garamond"/>
          <w:b/>
        </w:rPr>
      </w:pPr>
      <w:r w:rsidRPr="00BE2DCA">
        <w:rPr>
          <w:rFonts w:ascii="Garamond" w:hAnsi="Garamond"/>
          <w:b/>
        </w:rPr>
        <w:t>Chapter XI: Taxation</w:t>
      </w:r>
      <w:r w:rsidRPr="00BE2DCA">
        <w:rPr>
          <w:rFonts w:ascii="Garamond" w:hAnsi="Garamond"/>
        </w:rPr>
        <w:t xml:space="preserve"> (max 2000 characters)</w:t>
      </w:r>
    </w:p>
    <w:p w14:paraId="31C83153" w14:textId="77777777" w:rsidR="00BE2DCA" w:rsidRPr="00BE2DCA" w:rsidRDefault="00BE2DCA" w:rsidP="00BE2DCA">
      <w:pPr>
        <w:rPr>
          <w:rFonts w:ascii="Garamond" w:hAnsi="Garamond"/>
          <w:b/>
        </w:rPr>
      </w:pPr>
    </w:p>
    <w:p w14:paraId="681905D5" w14:textId="77777777" w:rsidR="00BE2DCA" w:rsidRPr="00BE2DCA" w:rsidRDefault="36074192" w:rsidP="00BE2DCA">
      <w:pPr>
        <w:rPr>
          <w:rFonts w:ascii="Garamond" w:hAnsi="Garamond"/>
        </w:rPr>
      </w:pPr>
      <w:r w:rsidRPr="36074192">
        <w:rPr>
          <w:rFonts w:ascii="Garamond" w:hAnsi="Garamond"/>
          <w:b/>
          <w:bCs/>
        </w:rPr>
        <w:t>Implementation procedures</w:t>
      </w:r>
      <w:r w:rsidRPr="36074192">
        <w:rPr>
          <w:rFonts w:ascii="Garamond" w:hAnsi="Garamond"/>
        </w:rPr>
        <w:t xml:space="preserve"> (max. 4000 characters)</w:t>
      </w:r>
    </w:p>
    <w:p w14:paraId="32C0B5C9" w14:textId="09703116" w:rsidR="36074192" w:rsidRDefault="36074192" w:rsidP="36074192">
      <w:pPr>
        <w:rPr>
          <w:rFonts w:ascii="Garamond" w:hAnsi="Garamond"/>
        </w:rPr>
      </w:pPr>
    </w:p>
    <w:p w14:paraId="41091821" w14:textId="1D52AE59" w:rsidR="00FF734F" w:rsidRPr="00667CA1" w:rsidRDefault="001A4AF0" w:rsidP="00FF734F">
      <w:pPr>
        <w:pStyle w:val="ListParagraph"/>
        <w:numPr>
          <w:ilvl w:val="0"/>
          <w:numId w:val="4"/>
        </w:numPr>
        <w:spacing w:after="120"/>
        <w:contextualSpacing w:val="0"/>
        <w:rPr>
          <w:rFonts w:ascii="Garamond" w:eastAsia="Times New Roman" w:hAnsi="Garamond" w:cs="Times New Roman"/>
          <w:color w:val="000000"/>
        </w:rPr>
      </w:pPr>
      <w:r>
        <w:rPr>
          <w:rFonts w:ascii="Garamond" w:eastAsia="Times New Roman" w:hAnsi="Garamond" w:cs="Times New Roman"/>
          <w:color w:val="000000" w:themeColor="text1"/>
          <w:u w:val="single"/>
        </w:rPr>
        <w:lastRenderedPageBreak/>
        <w:t>E</w:t>
      </w:r>
      <w:r w:rsidR="00FF734F" w:rsidRPr="7BA706F2">
        <w:rPr>
          <w:rFonts w:ascii="Garamond" w:eastAsia="Times New Roman" w:hAnsi="Garamond" w:cs="Times New Roman"/>
          <w:color w:val="000000" w:themeColor="text1"/>
          <w:u w:val="single"/>
        </w:rPr>
        <w:t>ffectiveness criteria</w:t>
      </w:r>
      <w:r w:rsidR="00FF734F" w:rsidRPr="7BA706F2">
        <w:rPr>
          <w:rFonts w:ascii="Garamond" w:eastAsia="Times New Roman" w:hAnsi="Garamond" w:cs="Times New Roman"/>
          <w:color w:val="000000" w:themeColor="text1"/>
        </w:rPr>
        <w:t xml:space="preserve">: We welcome </w:t>
      </w:r>
      <w:r w:rsidR="00311EFD">
        <w:rPr>
          <w:rFonts w:ascii="Garamond" w:eastAsia="Times New Roman" w:hAnsi="Garamond" w:cs="Times New Roman"/>
          <w:color w:val="000000" w:themeColor="text1"/>
        </w:rPr>
        <w:t xml:space="preserve">UNGP </w:t>
      </w:r>
      <w:r w:rsidR="00FF734F" w:rsidRPr="7BA706F2">
        <w:rPr>
          <w:rFonts w:ascii="Garamond" w:eastAsia="Times New Roman" w:hAnsi="Garamond" w:cs="Times New Roman"/>
          <w:color w:val="000000" w:themeColor="text1"/>
        </w:rPr>
        <w:t xml:space="preserve">alignment and </w:t>
      </w:r>
      <w:r w:rsidR="00FF734F">
        <w:rPr>
          <w:rFonts w:ascii="Garamond" w:eastAsia="Times New Roman" w:hAnsi="Garamond" w:cs="Times New Roman"/>
          <w:color w:val="000000" w:themeColor="text1"/>
        </w:rPr>
        <w:t>ensuring</w:t>
      </w:r>
      <w:r w:rsidR="00FF734F" w:rsidRPr="7BA706F2">
        <w:rPr>
          <w:rFonts w:ascii="Garamond" w:eastAsia="Times New Roman" w:hAnsi="Garamond" w:cs="Times New Roman"/>
          <w:color w:val="000000" w:themeColor="text1"/>
        </w:rPr>
        <w:t xml:space="preserve"> that power and resource imbalances don’t prevent effective engagement. We recommend enhancing the language to guarantee access to resources by vulnerable groups (</w:t>
      </w:r>
      <w:proofErr w:type="gramStart"/>
      <w:r w:rsidR="00FF734F" w:rsidRPr="7BA706F2">
        <w:rPr>
          <w:rFonts w:ascii="Garamond" w:eastAsia="Times New Roman" w:hAnsi="Garamond" w:cs="Times New Roman"/>
          <w:color w:val="000000" w:themeColor="text1"/>
        </w:rPr>
        <w:t>i.e.</w:t>
      </w:r>
      <w:proofErr w:type="gramEnd"/>
      <w:r w:rsidR="00FF734F" w:rsidRPr="7BA706F2">
        <w:rPr>
          <w:rFonts w:ascii="Garamond" w:eastAsia="Times New Roman" w:hAnsi="Garamond" w:cs="Times New Roman"/>
          <w:color w:val="000000" w:themeColor="text1"/>
        </w:rPr>
        <w:t xml:space="preserve"> travel, translation, technology, technical experts).</w:t>
      </w:r>
    </w:p>
    <w:p w14:paraId="200F8264" w14:textId="538413CA" w:rsidR="002E572C" w:rsidRPr="00BE2DCA" w:rsidRDefault="00B920C6" w:rsidP="00FF734F">
      <w:pPr>
        <w:pStyle w:val="ListParagraph"/>
        <w:numPr>
          <w:ilvl w:val="0"/>
          <w:numId w:val="4"/>
        </w:numPr>
        <w:spacing w:after="120"/>
        <w:contextualSpacing w:val="0"/>
        <w:rPr>
          <w:rFonts w:ascii="Garamond" w:eastAsia="Times New Roman" w:hAnsi="Garamond" w:cs="Times New Roman"/>
          <w:color w:val="000000"/>
        </w:rPr>
      </w:pPr>
      <w:r w:rsidRPr="00BE2DCA">
        <w:rPr>
          <w:rFonts w:ascii="Garamond" w:eastAsia="Times New Roman" w:hAnsi="Garamond" w:cs="Times New Roman"/>
          <w:color w:val="000000"/>
          <w:u w:val="single"/>
        </w:rPr>
        <w:t>Transparency</w:t>
      </w:r>
      <w:r w:rsidRPr="00BE2DCA">
        <w:rPr>
          <w:rFonts w:ascii="Garamond" w:eastAsia="Times New Roman" w:hAnsi="Garamond" w:cs="Times New Roman"/>
          <w:color w:val="000000"/>
        </w:rPr>
        <w:t xml:space="preserve">: </w:t>
      </w:r>
      <w:r w:rsidR="008E0536">
        <w:rPr>
          <w:rFonts w:ascii="Garamond" w:eastAsia="Times New Roman" w:hAnsi="Garamond" w:cs="Times New Roman"/>
          <w:color w:val="000000"/>
        </w:rPr>
        <w:t>Transparency should be</w:t>
      </w:r>
      <w:r w:rsidR="001B73DF">
        <w:rPr>
          <w:rFonts w:ascii="Garamond" w:eastAsia="Times New Roman" w:hAnsi="Garamond" w:cs="Times New Roman"/>
          <w:color w:val="000000"/>
        </w:rPr>
        <w:t xml:space="preserve"> a core principle</w:t>
      </w:r>
      <w:r w:rsidR="00054F7B">
        <w:rPr>
          <w:rFonts w:ascii="Garamond" w:eastAsia="Times New Roman" w:hAnsi="Garamond" w:cs="Times New Roman"/>
          <w:color w:val="000000"/>
        </w:rPr>
        <w:t>.</w:t>
      </w:r>
      <w:r w:rsidR="008E0536">
        <w:rPr>
          <w:rFonts w:ascii="Garamond" w:eastAsia="Times New Roman" w:hAnsi="Garamond" w:cs="Times New Roman"/>
          <w:color w:val="000000"/>
        </w:rPr>
        <w:t xml:space="preserve"> </w:t>
      </w:r>
      <w:r w:rsidR="00054F7B">
        <w:rPr>
          <w:rFonts w:ascii="Garamond" w:eastAsia="Times New Roman" w:hAnsi="Garamond" w:cs="Times New Roman"/>
          <w:color w:val="000000"/>
        </w:rPr>
        <w:t>It</w:t>
      </w:r>
      <w:r w:rsidR="002F28A9">
        <w:rPr>
          <w:rFonts w:ascii="Garamond" w:eastAsia="Times New Roman" w:hAnsi="Garamond" w:cs="Times New Roman"/>
          <w:color w:val="000000"/>
        </w:rPr>
        <w:t xml:space="preserve"> is essential to leveling power imbalances and the effectiveness of NCP processes</w:t>
      </w:r>
      <w:r w:rsidR="00E54D63" w:rsidRPr="00BE2DCA">
        <w:rPr>
          <w:rFonts w:ascii="Garamond" w:eastAsia="Times New Roman" w:hAnsi="Garamond" w:cs="Times New Roman"/>
          <w:color w:val="000000"/>
        </w:rPr>
        <w:t xml:space="preserve">. </w:t>
      </w:r>
      <w:r w:rsidR="008116E3" w:rsidRPr="00BE2DCA">
        <w:rPr>
          <w:rFonts w:ascii="Garamond" w:eastAsia="Times New Roman" w:hAnsi="Garamond" w:cs="Times New Roman"/>
          <w:color w:val="000000"/>
        </w:rPr>
        <w:t xml:space="preserve">We welcome </w:t>
      </w:r>
      <w:r w:rsidR="004F46B0">
        <w:rPr>
          <w:rFonts w:ascii="Garamond" w:eastAsia="Times New Roman" w:hAnsi="Garamond" w:cs="Times New Roman"/>
          <w:color w:val="000000"/>
        </w:rPr>
        <w:t>updates</w:t>
      </w:r>
      <w:r w:rsidR="004F46B0" w:rsidRPr="00BE2DCA">
        <w:rPr>
          <w:rFonts w:ascii="Garamond" w:eastAsia="Times New Roman" w:hAnsi="Garamond" w:cs="Times New Roman"/>
          <w:color w:val="000000"/>
        </w:rPr>
        <w:t xml:space="preserve"> </w:t>
      </w:r>
      <w:r w:rsidR="001B73DF">
        <w:rPr>
          <w:rFonts w:ascii="Garamond" w:eastAsia="Times New Roman" w:hAnsi="Garamond" w:cs="Times New Roman"/>
          <w:color w:val="000000"/>
        </w:rPr>
        <w:t xml:space="preserve">that emphasize transparency and </w:t>
      </w:r>
      <w:r w:rsidR="004F46B0">
        <w:rPr>
          <w:rFonts w:ascii="Garamond" w:eastAsia="Times New Roman" w:hAnsi="Garamond" w:cs="Times New Roman"/>
          <w:color w:val="000000"/>
        </w:rPr>
        <w:t>better</w:t>
      </w:r>
      <w:r w:rsidR="0034431B">
        <w:rPr>
          <w:rFonts w:ascii="Garamond" w:eastAsia="Times New Roman" w:hAnsi="Garamond" w:cs="Times New Roman"/>
          <w:color w:val="000000"/>
        </w:rPr>
        <w:t xml:space="preserve"> </w:t>
      </w:r>
      <w:r w:rsidR="00451C19" w:rsidRPr="00BE2DCA">
        <w:rPr>
          <w:rFonts w:ascii="Garamond" w:eastAsia="Times New Roman" w:hAnsi="Garamond" w:cs="Times New Roman"/>
          <w:color w:val="000000"/>
        </w:rPr>
        <w:t>define narrow confidentiality requirements</w:t>
      </w:r>
      <w:r w:rsidR="008116E3" w:rsidRPr="00BE2DCA">
        <w:rPr>
          <w:rFonts w:ascii="Garamond" w:eastAsia="Times New Roman" w:hAnsi="Garamond" w:cs="Times New Roman"/>
          <w:color w:val="000000"/>
        </w:rPr>
        <w:t xml:space="preserve">, </w:t>
      </w:r>
      <w:r w:rsidR="00AA5D8B">
        <w:rPr>
          <w:rFonts w:ascii="Garamond" w:eastAsia="Times New Roman" w:hAnsi="Garamond" w:cs="Times New Roman"/>
          <w:color w:val="000000"/>
        </w:rPr>
        <w:t>but our position is that confidentiality should almost always be negotiated between parties</w:t>
      </w:r>
      <w:r w:rsidR="001A4AF0">
        <w:rPr>
          <w:rFonts w:ascii="Garamond" w:eastAsia="Times New Roman" w:hAnsi="Garamond" w:cs="Times New Roman"/>
          <w:color w:val="000000"/>
        </w:rPr>
        <w:t>,</w:t>
      </w:r>
      <w:r w:rsidR="00AA5D8B">
        <w:rPr>
          <w:rFonts w:ascii="Garamond" w:eastAsia="Times New Roman" w:hAnsi="Garamond" w:cs="Times New Roman"/>
          <w:color w:val="000000"/>
        </w:rPr>
        <w:t xml:space="preserve"> not imposed.</w:t>
      </w:r>
    </w:p>
    <w:p w14:paraId="066BEFCE" w14:textId="4BB492C7" w:rsidR="002E572C" w:rsidRPr="00BE2DCA" w:rsidRDefault="008E0536" w:rsidP="00FF734F">
      <w:pPr>
        <w:pStyle w:val="ListParagraph"/>
        <w:numPr>
          <w:ilvl w:val="1"/>
          <w:numId w:val="4"/>
        </w:numPr>
        <w:spacing w:after="120"/>
        <w:contextualSpacing w:val="0"/>
        <w:rPr>
          <w:rFonts w:ascii="Garamond" w:eastAsia="Times New Roman" w:hAnsi="Garamond" w:cs="Times New Roman"/>
          <w:color w:val="000000"/>
        </w:rPr>
      </w:pPr>
      <w:r>
        <w:rPr>
          <w:rFonts w:ascii="Garamond" w:eastAsia="Times New Roman" w:hAnsi="Garamond" w:cs="Times New Roman"/>
          <w:color w:val="000000"/>
        </w:rPr>
        <w:t>G</w:t>
      </w:r>
      <w:r w:rsidR="00FF734F">
        <w:rPr>
          <w:rFonts w:ascii="Garamond" w:eastAsia="Times New Roman" w:hAnsi="Garamond" w:cs="Times New Roman"/>
          <w:color w:val="000000"/>
        </w:rPr>
        <w:t>rounds for information confidential</w:t>
      </w:r>
      <w:r w:rsidR="00C92D75">
        <w:rPr>
          <w:rFonts w:ascii="Garamond" w:eastAsia="Times New Roman" w:hAnsi="Garamond" w:cs="Times New Roman"/>
          <w:color w:val="000000"/>
        </w:rPr>
        <w:t>ity</w:t>
      </w:r>
      <w:r w:rsidR="00FF734F">
        <w:rPr>
          <w:rFonts w:ascii="Garamond" w:eastAsia="Times New Roman" w:hAnsi="Garamond" w:cs="Times New Roman"/>
          <w:color w:val="000000"/>
        </w:rPr>
        <w:t xml:space="preserve"> in </w:t>
      </w:r>
      <w:r w:rsidR="00B22D75">
        <w:rPr>
          <w:rFonts w:ascii="Garamond" w:eastAsia="Times New Roman" w:hAnsi="Garamond" w:cs="Times New Roman"/>
          <w:color w:val="000000"/>
        </w:rPr>
        <w:t>¶</w:t>
      </w:r>
      <w:r w:rsidR="002E572C" w:rsidRPr="00BE2DCA">
        <w:rPr>
          <w:rFonts w:ascii="Garamond" w:eastAsia="Times New Roman" w:hAnsi="Garamond" w:cs="Times New Roman"/>
          <w:color w:val="000000"/>
        </w:rPr>
        <w:t>C.6 should be narrow</w:t>
      </w:r>
      <w:r w:rsidR="00FF734F">
        <w:rPr>
          <w:rFonts w:ascii="Garamond" w:eastAsia="Times New Roman" w:hAnsi="Garamond" w:cs="Times New Roman"/>
          <w:color w:val="000000"/>
        </w:rPr>
        <w:t>ed</w:t>
      </w:r>
      <w:r w:rsidR="002E572C" w:rsidRPr="00BE2DCA">
        <w:rPr>
          <w:rFonts w:ascii="Garamond" w:eastAsia="Times New Roman" w:hAnsi="Garamond" w:cs="Times New Roman"/>
          <w:color w:val="000000"/>
        </w:rPr>
        <w:t xml:space="preserve"> (</w:t>
      </w:r>
      <w:proofErr w:type="gramStart"/>
      <w:r w:rsidR="002E572C" w:rsidRPr="00BE2DCA">
        <w:rPr>
          <w:rFonts w:ascii="Garamond" w:eastAsia="Times New Roman" w:hAnsi="Garamond" w:cs="Times New Roman"/>
          <w:color w:val="000000"/>
        </w:rPr>
        <w:t>i.e.</w:t>
      </w:r>
      <w:proofErr w:type="gramEnd"/>
      <w:r w:rsidR="002E572C" w:rsidRPr="00BE2DCA">
        <w:rPr>
          <w:rFonts w:ascii="Garamond" w:eastAsia="Times New Roman" w:hAnsi="Garamond" w:cs="Times New Roman"/>
          <w:color w:val="000000"/>
        </w:rPr>
        <w:t xml:space="preserve"> replace sensitive information with trade secrets). </w:t>
      </w:r>
      <w:r w:rsidR="00EE66E1">
        <w:rPr>
          <w:rFonts w:ascii="Garamond" w:eastAsia="Times New Roman" w:hAnsi="Garamond" w:cs="Times New Roman"/>
          <w:color w:val="000000"/>
        </w:rPr>
        <w:t>L</w:t>
      </w:r>
      <w:r w:rsidR="003C2EC6">
        <w:rPr>
          <w:rFonts w:ascii="Garamond" w:eastAsia="Times New Roman" w:hAnsi="Garamond" w:cs="Times New Roman"/>
          <w:color w:val="000000"/>
        </w:rPr>
        <w:t xml:space="preserve">imited legitimate </w:t>
      </w:r>
      <w:r w:rsidR="004F46B0">
        <w:rPr>
          <w:rFonts w:ascii="Garamond" w:eastAsia="Times New Roman" w:hAnsi="Garamond" w:cs="Times New Roman"/>
          <w:color w:val="000000"/>
        </w:rPr>
        <w:t xml:space="preserve">reasons for </w:t>
      </w:r>
      <w:r w:rsidR="003C2EC6">
        <w:rPr>
          <w:rFonts w:ascii="Garamond" w:eastAsia="Times New Roman" w:hAnsi="Garamond" w:cs="Times New Roman"/>
          <w:color w:val="000000"/>
        </w:rPr>
        <w:t>confidentiality</w:t>
      </w:r>
      <w:r>
        <w:rPr>
          <w:rFonts w:ascii="Garamond" w:eastAsia="Times New Roman" w:hAnsi="Garamond" w:cs="Times New Roman"/>
          <w:color w:val="000000"/>
        </w:rPr>
        <w:t xml:space="preserve"> exist</w:t>
      </w:r>
      <w:r w:rsidR="00EE66E1">
        <w:rPr>
          <w:rFonts w:ascii="Garamond" w:eastAsia="Times New Roman" w:hAnsi="Garamond" w:cs="Times New Roman"/>
          <w:color w:val="000000"/>
        </w:rPr>
        <w:t>;</w:t>
      </w:r>
      <w:r w:rsidR="004F46B0">
        <w:rPr>
          <w:rFonts w:ascii="Garamond" w:eastAsia="Times New Roman" w:hAnsi="Garamond" w:cs="Times New Roman"/>
          <w:color w:val="000000"/>
        </w:rPr>
        <w:t xml:space="preserve"> access </w:t>
      </w:r>
      <w:r w:rsidR="00841B17" w:rsidRPr="00BE2DCA">
        <w:rPr>
          <w:rFonts w:ascii="Garamond" w:eastAsia="Times New Roman" w:hAnsi="Garamond" w:cs="Times New Roman"/>
          <w:color w:val="000000"/>
        </w:rPr>
        <w:t xml:space="preserve">to information </w:t>
      </w:r>
      <w:r w:rsidR="004F46B0">
        <w:rPr>
          <w:rFonts w:ascii="Garamond" w:eastAsia="Times New Roman" w:hAnsi="Garamond" w:cs="Times New Roman"/>
          <w:color w:val="000000"/>
        </w:rPr>
        <w:t xml:space="preserve">is </w:t>
      </w:r>
      <w:r w:rsidR="00C92D75">
        <w:rPr>
          <w:rFonts w:ascii="Garamond" w:eastAsia="Times New Roman" w:hAnsi="Garamond" w:cs="Times New Roman"/>
          <w:color w:val="000000"/>
        </w:rPr>
        <w:t xml:space="preserve">key </w:t>
      </w:r>
      <w:r w:rsidR="004F46B0">
        <w:rPr>
          <w:rFonts w:ascii="Garamond" w:eastAsia="Times New Roman" w:hAnsi="Garamond" w:cs="Times New Roman"/>
          <w:color w:val="000000"/>
        </w:rPr>
        <w:t xml:space="preserve">for parties </w:t>
      </w:r>
      <w:r w:rsidR="00841B17" w:rsidRPr="00BE2DCA">
        <w:rPr>
          <w:rFonts w:ascii="Garamond" w:eastAsia="Times New Roman" w:hAnsi="Garamond" w:cs="Times New Roman"/>
          <w:color w:val="000000"/>
        </w:rPr>
        <w:t>to effective</w:t>
      </w:r>
      <w:r w:rsidR="00B4205C">
        <w:rPr>
          <w:rFonts w:ascii="Garamond" w:eastAsia="Times New Roman" w:hAnsi="Garamond" w:cs="Times New Roman"/>
          <w:color w:val="000000"/>
        </w:rPr>
        <w:t>ly engage</w:t>
      </w:r>
      <w:r w:rsidR="00311EFD">
        <w:rPr>
          <w:rFonts w:ascii="Garamond" w:eastAsia="Times New Roman" w:hAnsi="Garamond" w:cs="Times New Roman"/>
          <w:color w:val="000000"/>
        </w:rPr>
        <w:t>.</w:t>
      </w:r>
    </w:p>
    <w:p w14:paraId="64EAE0D5" w14:textId="7E54A064" w:rsidR="00BC309F" w:rsidRPr="00BE2DCA" w:rsidRDefault="7BA706F2" w:rsidP="00FF734F">
      <w:pPr>
        <w:pStyle w:val="ListParagraph"/>
        <w:numPr>
          <w:ilvl w:val="1"/>
          <w:numId w:val="4"/>
        </w:numPr>
        <w:spacing w:after="120"/>
        <w:contextualSpacing w:val="0"/>
        <w:rPr>
          <w:rFonts w:ascii="Garamond" w:eastAsia="Times New Roman" w:hAnsi="Garamond" w:cs="Times New Roman"/>
          <w:color w:val="000000"/>
        </w:rPr>
      </w:pPr>
      <w:r w:rsidRPr="7BA706F2">
        <w:rPr>
          <w:rFonts w:ascii="Garamond" w:eastAsia="Times New Roman" w:hAnsi="Garamond" w:cs="Times New Roman"/>
          <w:color w:val="000000" w:themeColor="text1"/>
        </w:rPr>
        <w:t>Added language in ¶46 is an important improvement. However, the sentence “Nonetheless, it remains important to strike a balance…” implies that NCPs can, at their discretion, add additional confidentiality requirements to "build confidence</w:t>
      </w:r>
      <w:r w:rsidR="00E85D7E">
        <w:rPr>
          <w:rFonts w:ascii="Garamond" w:eastAsia="Times New Roman" w:hAnsi="Garamond" w:cs="Times New Roman"/>
          <w:color w:val="000000" w:themeColor="text1"/>
        </w:rPr>
        <w:t>.” This</w:t>
      </w:r>
      <w:r w:rsidRPr="7BA706F2">
        <w:rPr>
          <w:rFonts w:ascii="Garamond" w:eastAsia="Times New Roman" w:hAnsi="Garamond" w:cs="Times New Roman"/>
          <w:color w:val="000000" w:themeColor="text1"/>
        </w:rPr>
        <w:t xml:space="preserve"> should be removed</w:t>
      </w:r>
      <w:r w:rsidR="00E85D7E">
        <w:rPr>
          <w:rFonts w:ascii="Garamond" w:eastAsia="Times New Roman" w:hAnsi="Garamond" w:cs="Times New Roman"/>
          <w:color w:val="000000" w:themeColor="text1"/>
        </w:rPr>
        <w:t xml:space="preserve">: imposed confidentiality requirements reduce confidence of </w:t>
      </w:r>
      <w:r w:rsidR="00B466C4">
        <w:rPr>
          <w:rFonts w:ascii="Garamond" w:eastAsia="Times New Roman" w:hAnsi="Garamond" w:cs="Times New Roman"/>
          <w:color w:val="000000" w:themeColor="text1"/>
        </w:rPr>
        <w:t xml:space="preserve">complainant </w:t>
      </w:r>
      <w:r w:rsidR="00E85D7E">
        <w:rPr>
          <w:rFonts w:ascii="Garamond" w:eastAsia="Times New Roman" w:hAnsi="Garamond" w:cs="Times New Roman"/>
          <w:color w:val="000000" w:themeColor="text1"/>
        </w:rPr>
        <w:t>communities</w:t>
      </w:r>
      <w:r w:rsidRPr="7BA706F2">
        <w:rPr>
          <w:rFonts w:ascii="Garamond" w:eastAsia="Times New Roman" w:hAnsi="Garamond" w:cs="Times New Roman"/>
          <w:color w:val="000000" w:themeColor="text1"/>
        </w:rPr>
        <w:t>.</w:t>
      </w:r>
    </w:p>
    <w:p w14:paraId="3747E348" w14:textId="2442D63B" w:rsidR="005D512A" w:rsidRDefault="4E1AB42C" w:rsidP="4E1AB42C">
      <w:pPr>
        <w:pStyle w:val="ListParagraph"/>
        <w:numPr>
          <w:ilvl w:val="1"/>
          <w:numId w:val="2"/>
        </w:numPr>
        <w:spacing w:after="120"/>
        <w:rPr>
          <w:rFonts w:ascii="Garamond" w:eastAsia="Times New Roman" w:hAnsi="Garamond" w:cs="Times New Roman"/>
          <w:color w:val="000000"/>
        </w:rPr>
      </w:pPr>
      <w:r w:rsidRPr="4E1AB42C">
        <w:rPr>
          <w:rFonts w:ascii="Garamond" w:eastAsia="Times New Roman" w:hAnsi="Garamond" w:cs="Times New Roman"/>
          <w:color w:val="000000" w:themeColor="text1"/>
        </w:rPr>
        <w:t>We encourage further alignment of ¶48 with ¶C.7. Ultimately, parties must agree on the level of disclosure, and it is problematic for the Commentary to set confidentiality as a default for the whole proceeding. Good practices such as publishing complaints, sharing progress updates and agreements reached with the public or a limited group of stakeholders should be encouraged.</w:t>
      </w:r>
    </w:p>
    <w:p w14:paraId="04922A2E" w14:textId="49E9033F" w:rsidR="005D512A" w:rsidRPr="00BE2DCA" w:rsidRDefault="10CCEB7E" w:rsidP="00FF734F">
      <w:pPr>
        <w:pStyle w:val="ListParagraph"/>
        <w:numPr>
          <w:ilvl w:val="1"/>
          <w:numId w:val="2"/>
        </w:numPr>
        <w:spacing w:after="120"/>
        <w:contextualSpacing w:val="0"/>
        <w:rPr>
          <w:rFonts w:ascii="Garamond" w:eastAsia="Times New Roman" w:hAnsi="Garamond" w:cs="Times New Roman"/>
          <w:color w:val="000000"/>
        </w:rPr>
      </w:pPr>
      <w:r w:rsidRPr="10CCEB7E">
        <w:rPr>
          <w:rFonts w:ascii="Garamond" w:eastAsia="Times New Roman" w:hAnsi="Garamond" w:cs="Times New Roman"/>
          <w:color w:val="000000" w:themeColor="text1"/>
        </w:rPr>
        <w:t>¶39 should be amended to provide justifiable grounds, such as security risks, to keep the identity of a party confidential.</w:t>
      </w:r>
    </w:p>
    <w:p w14:paraId="7D3EE876" w14:textId="4F9A1448" w:rsidR="00BC309F" w:rsidRPr="00B4205C" w:rsidRDefault="10CCEB7E" w:rsidP="00B4205C">
      <w:pPr>
        <w:pStyle w:val="ListParagraph"/>
        <w:numPr>
          <w:ilvl w:val="1"/>
          <w:numId w:val="2"/>
        </w:numPr>
        <w:spacing w:after="120"/>
        <w:rPr>
          <w:rFonts w:ascii="Garamond" w:eastAsia="Times New Roman" w:hAnsi="Garamond" w:cs="Times New Roman"/>
          <w:color w:val="000000"/>
        </w:rPr>
      </w:pPr>
      <w:r w:rsidRPr="00B4205C">
        <w:rPr>
          <w:rFonts w:ascii="Garamond" w:eastAsia="Times New Roman" w:hAnsi="Garamond" w:cs="Times New Roman"/>
          <w:color w:val="000000" w:themeColor="text1"/>
        </w:rPr>
        <w:t xml:space="preserve">¶40 should be amended to require </w:t>
      </w:r>
      <w:r w:rsidR="008E0536">
        <w:rPr>
          <w:rFonts w:ascii="Garamond" w:eastAsia="Times New Roman" w:hAnsi="Garamond" w:cs="Times New Roman"/>
          <w:color w:val="000000" w:themeColor="text1"/>
        </w:rPr>
        <w:t>publication of</w:t>
      </w:r>
      <w:r w:rsidRPr="00B4205C">
        <w:rPr>
          <w:rFonts w:ascii="Garamond" w:eastAsia="Times New Roman" w:hAnsi="Garamond" w:cs="Times New Roman"/>
          <w:color w:val="000000" w:themeColor="text1"/>
        </w:rPr>
        <w:t xml:space="preserve"> decision</w:t>
      </w:r>
      <w:r w:rsidR="008E0536">
        <w:rPr>
          <w:rFonts w:ascii="Garamond" w:eastAsia="Times New Roman" w:hAnsi="Garamond" w:cs="Times New Roman"/>
          <w:color w:val="000000" w:themeColor="text1"/>
        </w:rPr>
        <w:t>s</w:t>
      </w:r>
      <w:r w:rsidRPr="00B4205C">
        <w:rPr>
          <w:rFonts w:ascii="Garamond" w:eastAsia="Times New Roman" w:hAnsi="Garamond" w:cs="Times New Roman"/>
          <w:color w:val="000000" w:themeColor="text1"/>
        </w:rPr>
        <w:t xml:space="preserve"> that the issues raised warrant further examination.</w:t>
      </w:r>
    </w:p>
    <w:p w14:paraId="6BDC3B70" w14:textId="406C9354" w:rsidR="00222E31" w:rsidRDefault="00222E31" w:rsidP="00FF734F">
      <w:pPr>
        <w:pStyle w:val="ListParagraph"/>
        <w:numPr>
          <w:ilvl w:val="0"/>
          <w:numId w:val="2"/>
        </w:numPr>
        <w:spacing w:after="120"/>
        <w:contextualSpacing w:val="0"/>
        <w:rPr>
          <w:rFonts w:ascii="Garamond" w:eastAsia="Times New Roman" w:hAnsi="Garamond" w:cs="Times New Roman"/>
          <w:color w:val="000000"/>
        </w:rPr>
      </w:pPr>
      <w:r w:rsidRPr="00BE2DCA">
        <w:rPr>
          <w:rFonts w:ascii="Garamond" w:eastAsia="Times New Roman" w:hAnsi="Garamond" w:cs="Times New Roman"/>
          <w:color w:val="000000"/>
          <w:u w:val="single"/>
        </w:rPr>
        <w:t xml:space="preserve">Initial assessment: </w:t>
      </w:r>
      <w:r w:rsidR="008E0536">
        <w:rPr>
          <w:rFonts w:ascii="Garamond" w:eastAsia="Times New Roman" w:hAnsi="Garamond" w:cs="Times New Roman"/>
          <w:color w:val="000000"/>
        </w:rPr>
        <w:t>This</w:t>
      </w:r>
      <w:r>
        <w:rPr>
          <w:rFonts w:ascii="Garamond" w:eastAsia="Times New Roman" w:hAnsi="Garamond" w:cs="Times New Roman"/>
          <w:color w:val="000000"/>
        </w:rPr>
        <w:t xml:space="preserve"> </w:t>
      </w:r>
      <w:r w:rsidR="00D726E4">
        <w:rPr>
          <w:rFonts w:ascii="Garamond" w:eastAsia="Times New Roman" w:hAnsi="Garamond" w:cs="Times New Roman"/>
          <w:color w:val="000000"/>
        </w:rPr>
        <w:t>is</w:t>
      </w:r>
      <w:r>
        <w:rPr>
          <w:rFonts w:ascii="Garamond" w:eastAsia="Times New Roman" w:hAnsi="Garamond" w:cs="Times New Roman"/>
          <w:color w:val="000000"/>
        </w:rPr>
        <w:t xml:space="preserve"> a basic eligibility</w:t>
      </w:r>
      <w:r w:rsidR="002F1F05">
        <w:rPr>
          <w:rFonts w:ascii="Garamond" w:eastAsia="Times New Roman" w:hAnsi="Garamond" w:cs="Times New Roman"/>
          <w:color w:val="000000"/>
        </w:rPr>
        <w:t xml:space="preserve"> determination, not a</w:t>
      </w:r>
      <w:r w:rsidR="00B4205C">
        <w:rPr>
          <w:rFonts w:ascii="Garamond" w:eastAsia="Times New Roman" w:hAnsi="Garamond" w:cs="Times New Roman"/>
          <w:color w:val="000000"/>
        </w:rPr>
        <w:t xml:space="preserve"> merits </w:t>
      </w:r>
      <w:r>
        <w:rPr>
          <w:rFonts w:ascii="Garamond" w:eastAsia="Times New Roman" w:hAnsi="Garamond" w:cs="Times New Roman"/>
          <w:color w:val="000000"/>
        </w:rPr>
        <w:t>assessment</w:t>
      </w:r>
      <w:r w:rsidR="00B4205C">
        <w:rPr>
          <w:rFonts w:ascii="Garamond" w:eastAsia="Times New Roman" w:hAnsi="Garamond" w:cs="Times New Roman"/>
          <w:color w:val="000000"/>
        </w:rPr>
        <w:t>.</w:t>
      </w:r>
      <w:r>
        <w:rPr>
          <w:rFonts w:ascii="Garamond" w:eastAsia="Times New Roman" w:hAnsi="Garamond" w:cs="Times New Roman"/>
          <w:color w:val="000000"/>
        </w:rPr>
        <w:t xml:space="preserve"> The </w:t>
      </w:r>
      <w:r w:rsidRPr="00BE2DCA">
        <w:rPr>
          <w:rFonts w:ascii="Garamond" w:eastAsia="Times New Roman" w:hAnsi="Garamond" w:cs="Times New Roman"/>
          <w:color w:val="000000"/>
        </w:rPr>
        <w:t xml:space="preserve">criteria leave too much room for arbitrariness. </w:t>
      </w:r>
      <w:r>
        <w:rPr>
          <w:rFonts w:ascii="Garamond" w:eastAsia="Times New Roman" w:hAnsi="Garamond" w:cs="Times New Roman"/>
          <w:color w:val="000000"/>
        </w:rPr>
        <w:t xml:space="preserve">They should be </w:t>
      </w:r>
      <w:r w:rsidRPr="00BE2DCA">
        <w:rPr>
          <w:rFonts w:ascii="Garamond" w:eastAsia="Times New Roman" w:hAnsi="Garamond" w:cs="Times New Roman"/>
          <w:color w:val="000000"/>
        </w:rPr>
        <w:t>simplif</w:t>
      </w:r>
      <w:r>
        <w:rPr>
          <w:rFonts w:ascii="Garamond" w:eastAsia="Times New Roman" w:hAnsi="Garamond" w:cs="Times New Roman"/>
          <w:color w:val="000000"/>
        </w:rPr>
        <w:t>ied</w:t>
      </w:r>
      <w:r w:rsidRPr="00BE2DCA">
        <w:rPr>
          <w:rFonts w:ascii="Garamond" w:eastAsia="Times New Roman" w:hAnsi="Garamond" w:cs="Times New Roman"/>
          <w:color w:val="000000"/>
        </w:rPr>
        <w:t xml:space="preserve"> to: (1) the identity of the parties; (2) whether the issues raised are covered by the Guidelines; and (3) whether the allegations are plausible.</w:t>
      </w:r>
    </w:p>
    <w:p w14:paraId="10E50485" w14:textId="4BC6DA85" w:rsidR="00D85203" w:rsidRPr="00BE2DCA" w:rsidRDefault="00D85203" w:rsidP="00FF734F">
      <w:pPr>
        <w:pStyle w:val="ListParagraph"/>
        <w:numPr>
          <w:ilvl w:val="0"/>
          <w:numId w:val="2"/>
        </w:numPr>
        <w:spacing w:after="120"/>
        <w:contextualSpacing w:val="0"/>
        <w:rPr>
          <w:rFonts w:ascii="Garamond" w:eastAsia="Times New Roman" w:hAnsi="Garamond" w:cs="Times New Roman"/>
          <w:color w:val="000000"/>
        </w:rPr>
      </w:pPr>
      <w:r>
        <w:rPr>
          <w:rFonts w:ascii="Garamond" w:eastAsia="Times New Roman" w:hAnsi="Garamond" w:cs="Times New Roman"/>
          <w:color w:val="000000"/>
          <w:u w:val="single"/>
        </w:rPr>
        <w:t xml:space="preserve">Good </w:t>
      </w:r>
      <w:r w:rsidR="00FF734F">
        <w:rPr>
          <w:rFonts w:ascii="Garamond" w:eastAsia="Times New Roman" w:hAnsi="Garamond" w:cs="Times New Roman"/>
          <w:color w:val="000000"/>
          <w:u w:val="single"/>
        </w:rPr>
        <w:t>Offices:</w:t>
      </w:r>
      <w:r w:rsidR="00FF734F">
        <w:rPr>
          <w:rFonts w:ascii="Garamond" w:eastAsia="Times New Roman" w:hAnsi="Garamond" w:cs="Times New Roman"/>
          <w:color w:val="000000"/>
        </w:rPr>
        <w:t xml:space="preserve"> </w:t>
      </w:r>
      <w:r w:rsidR="008E0536">
        <w:rPr>
          <w:rFonts w:ascii="Garamond" w:eastAsia="Times New Roman" w:hAnsi="Garamond" w:cs="Times New Roman"/>
          <w:color w:val="000000"/>
        </w:rPr>
        <w:t xml:space="preserve">The </w:t>
      </w:r>
      <w:r w:rsidR="00FF734F">
        <w:rPr>
          <w:rFonts w:ascii="Garamond" w:eastAsia="Times New Roman" w:hAnsi="Garamond" w:cs="Times New Roman"/>
          <w:color w:val="000000"/>
        </w:rPr>
        <w:t xml:space="preserve">language in ¶24 and ¶36 </w:t>
      </w:r>
      <w:r w:rsidR="00B4205C">
        <w:rPr>
          <w:rFonts w:ascii="Garamond" w:eastAsia="Times New Roman" w:hAnsi="Garamond" w:cs="Times New Roman"/>
          <w:color w:val="000000"/>
        </w:rPr>
        <w:t>on</w:t>
      </w:r>
      <w:r w:rsidR="00FF734F">
        <w:rPr>
          <w:rFonts w:ascii="Garamond" w:eastAsia="Times New Roman" w:hAnsi="Garamond" w:cs="Times New Roman"/>
          <w:color w:val="000000"/>
        </w:rPr>
        <w:t xml:space="preserve"> the need for agreements to be Guidelines-compatible is critically important. We recommend further strengthening by directing NCPs to make recommendations about any incompatibilities</w:t>
      </w:r>
      <w:r w:rsidR="00B4205C">
        <w:rPr>
          <w:rFonts w:ascii="Garamond" w:eastAsia="Times New Roman" w:hAnsi="Garamond" w:cs="Times New Roman"/>
          <w:color w:val="000000"/>
        </w:rPr>
        <w:t xml:space="preserve"> that</w:t>
      </w:r>
      <w:r w:rsidR="00FF734F">
        <w:rPr>
          <w:rFonts w:ascii="Garamond" w:eastAsia="Times New Roman" w:hAnsi="Garamond" w:cs="Times New Roman"/>
          <w:color w:val="000000"/>
        </w:rPr>
        <w:t xml:space="preserve"> remain unresolved.</w:t>
      </w:r>
    </w:p>
    <w:p w14:paraId="6A0435BB" w14:textId="546922AF" w:rsidR="00FF734F" w:rsidRPr="008C33AE" w:rsidRDefault="00FF734F" w:rsidP="00FF734F">
      <w:pPr>
        <w:pStyle w:val="ListParagraph"/>
        <w:numPr>
          <w:ilvl w:val="0"/>
          <w:numId w:val="4"/>
        </w:numPr>
        <w:spacing w:after="120"/>
        <w:contextualSpacing w:val="0"/>
        <w:rPr>
          <w:rFonts w:ascii="Garamond" w:eastAsia="Times New Roman" w:hAnsi="Garamond" w:cs="Times New Roman"/>
          <w:color w:val="000000"/>
        </w:rPr>
      </w:pPr>
      <w:r>
        <w:rPr>
          <w:rFonts w:ascii="Garamond" w:eastAsia="Times New Roman" w:hAnsi="Garamond" w:cs="Times New Roman"/>
          <w:color w:val="000000" w:themeColor="text1"/>
          <w:u w:val="single"/>
        </w:rPr>
        <w:t>Final Statements</w:t>
      </w:r>
      <w:r w:rsidRPr="7BA706F2">
        <w:rPr>
          <w:rFonts w:ascii="Garamond" w:eastAsia="Times New Roman" w:hAnsi="Garamond" w:cs="Times New Roman"/>
          <w:color w:val="000000" w:themeColor="text1"/>
        </w:rPr>
        <w:t>: We welcome clarifications</w:t>
      </w:r>
      <w:r w:rsidR="007E6E79">
        <w:rPr>
          <w:rFonts w:ascii="Garamond" w:eastAsia="Times New Roman" w:hAnsi="Garamond" w:cs="Times New Roman"/>
          <w:color w:val="000000" w:themeColor="text1"/>
        </w:rPr>
        <w:t xml:space="preserve"> (</w:t>
      </w:r>
      <w:r w:rsidR="007E6E79">
        <w:rPr>
          <w:rFonts w:ascii="Garamond" w:eastAsia="Times New Roman" w:hAnsi="Garamond" w:cs="Times New Roman"/>
          <w:color w:val="000000"/>
        </w:rPr>
        <w:t xml:space="preserve">¶I.c.4, ¶24, </w:t>
      </w:r>
      <w:r w:rsidR="00F774DA">
        <w:rPr>
          <w:rFonts w:ascii="Garamond" w:eastAsia="Times New Roman" w:hAnsi="Garamond" w:cs="Times New Roman"/>
          <w:color w:val="000000"/>
        </w:rPr>
        <w:t>&amp;</w:t>
      </w:r>
      <w:r w:rsidR="007E6E79">
        <w:rPr>
          <w:rFonts w:ascii="Garamond" w:eastAsia="Times New Roman" w:hAnsi="Garamond" w:cs="Times New Roman"/>
          <w:color w:val="000000"/>
        </w:rPr>
        <w:t xml:space="preserve"> ¶43)</w:t>
      </w:r>
      <w:r w:rsidRPr="7BA706F2">
        <w:rPr>
          <w:rFonts w:ascii="Garamond" w:eastAsia="Times New Roman" w:hAnsi="Garamond" w:cs="Times New Roman"/>
          <w:color w:val="000000" w:themeColor="text1"/>
        </w:rPr>
        <w:t xml:space="preserve"> of NCPs’ authority to make determinations and recommendations.</w:t>
      </w:r>
      <w:r w:rsidR="00983905">
        <w:rPr>
          <w:rFonts w:ascii="Garamond" w:eastAsia="Times New Roman" w:hAnsi="Garamond" w:cs="Times New Roman"/>
          <w:color w:val="000000" w:themeColor="text1"/>
        </w:rPr>
        <w:t xml:space="preserve"> The Guidelines should more clearly encourage this practice.</w:t>
      </w:r>
      <w:r w:rsidRPr="7BA706F2">
        <w:rPr>
          <w:rFonts w:ascii="Garamond" w:eastAsia="Times New Roman" w:hAnsi="Garamond" w:cs="Times New Roman"/>
          <w:color w:val="000000" w:themeColor="text1"/>
        </w:rPr>
        <w:t xml:space="preserve"> </w:t>
      </w:r>
      <w:r w:rsidR="00983905">
        <w:rPr>
          <w:rFonts w:ascii="Garamond" w:eastAsia="Times New Roman" w:hAnsi="Garamond" w:cs="Times New Roman"/>
          <w:color w:val="000000" w:themeColor="text1"/>
        </w:rPr>
        <w:t>Public d</w:t>
      </w:r>
      <w:r w:rsidR="00CA4EA1">
        <w:rPr>
          <w:rFonts w:ascii="Garamond" w:eastAsia="Times New Roman" w:hAnsi="Garamond" w:cs="Times New Roman"/>
          <w:color w:val="000000" w:themeColor="text1"/>
        </w:rPr>
        <w:t>eterminations and recommendations</w:t>
      </w:r>
      <w:r w:rsidRPr="7BA706F2">
        <w:rPr>
          <w:rFonts w:ascii="Garamond" w:eastAsia="Times New Roman" w:hAnsi="Garamond" w:cs="Times New Roman"/>
          <w:color w:val="000000" w:themeColor="text1"/>
        </w:rPr>
        <w:t xml:space="preserve"> </w:t>
      </w:r>
      <w:r w:rsidR="00983905">
        <w:rPr>
          <w:rFonts w:ascii="Garamond" w:eastAsia="Times New Roman" w:hAnsi="Garamond" w:cs="Times New Roman"/>
          <w:color w:val="000000" w:themeColor="text1"/>
        </w:rPr>
        <w:t>are one of the few tools to incentivize MNEs to provide remedy or implement reforms aligning their operations with the Guidelines.</w:t>
      </w:r>
      <w:r w:rsidRPr="7BA706F2">
        <w:rPr>
          <w:rFonts w:ascii="Garamond" w:eastAsia="Times New Roman" w:hAnsi="Garamond" w:cs="Times New Roman"/>
          <w:color w:val="000000" w:themeColor="text1"/>
        </w:rPr>
        <w:t xml:space="preserve"> </w:t>
      </w:r>
      <w:r w:rsidR="008E0536">
        <w:rPr>
          <w:rFonts w:ascii="Garamond" w:eastAsia="Times New Roman" w:hAnsi="Garamond" w:cs="Times New Roman"/>
          <w:color w:val="000000" w:themeColor="text1"/>
        </w:rPr>
        <w:t>F</w:t>
      </w:r>
      <w:r w:rsidRPr="7BA706F2">
        <w:rPr>
          <w:rFonts w:ascii="Garamond" w:eastAsia="Times New Roman" w:hAnsi="Garamond" w:cs="Times New Roman"/>
          <w:color w:val="000000" w:themeColor="text1"/>
        </w:rPr>
        <w:t xml:space="preserve">inal statements </w:t>
      </w:r>
      <w:r w:rsidR="00CA4EA1">
        <w:rPr>
          <w:rFonts w:ascii="Garamond" w:eastAsia="Times New Roman" w:hAnsi="Garamond" w:cs="Times New Roman"/>
          <w:color w:val="000000" w:themeColor="text1"/>
        </w:rPr>
        <w:t>should include</w:t>
      </w:r>
      <w:r w:rsidRPr="7BA706F2">
        <w:rPr>
          <w:rFonts w:ascii="Garamond" w:eastAsia="Times New Roman" w:hAnsi="Garamond" w:cs="Times New Roman"/>
          <w:color w:val="000000" w:themeColor="text1"/>
        </w:rPr>
        <w:t xml:space="preserve"> clear determinations of non</w:t>
      </w:r>
      <w:r w:rsidR="00CA4EA1">
        <w:rPr>
          <w:rFonts w:ascii="Garamond" w:eastAsia="Times New Roman" w:hAnsi="Garamond" w:cs="Times New Roman"/>
          <w:color w:val="000000" w:themeColor="text1"/>
        </w:rPr>
        <w:t>-conformance</w:t>
      </w:r>
      <w:r w:rsidRPr="7BA706F2">
        <w:rPr>
          <w:rFonts w:ascii="Garamond" w:eastAsia="Times New Roman" w:hAnsi="Garamond" w:cs="Times New Roman"/>
          <w:color w:val="000000" w:themeColor="text1"/>
        </w:rPr>
        <w:t xml:space="preserve"> and tailored recommendations </w:t>
      </w:r>
      <w:r w:rsidR="00F7470E">
        <w:rPr>
          <w:rFonts w:ascii="Garamond" w:eastAsia="Times New Roman" w:hAnsi="Garamond" w:cs="Times New Roman"/>
          <w:color w:val="000000" w:themeColor="text1"/>
        </w:rPr>
        <w:t xml:space="preserve">whenever </w:t>
      </w:r>
      <w:r w:rsidRPr="7BA706F2">
        <w:rPr>
          <w:rFonts w:ascii="Garamond" w:eastAsia="Times New Roman" w:hAnsi="Garamond" w:cs="Times New Roman"/>
          <w:color w:val="000000" w:themeColor="text1"/>
        </w:rPr>
        <w:t>no agreement is reached</w:t>
      </w:r>
      <w:r w:rsidR="00983905">
        <w:rPr>
          <w:rFonts w:ascii="Garamond" w:eastAsia="Times New Roman" w:hAnsi="Garamond" w:cs="Times New Roman"/>
          <w:color w:val="000000" w:themeColor="text1"/>
        </w:rPr>
        <w:t xml:space="preserve">; as well as in some instances </w:t>
      </w:r>
      <w:r w:rsidRPr="7BA706F2">
        <w:rPr>
          <w:rFonts w:ascii="Garamond" w:eastAsia="Times New Roman" w:hAnsi="Garamond" w:cs="Times New Roman"/>
          <w:color w:val="000000" w:themeColor="text1"/>
        </w:rPr>
        <w:t>following a</w:t>
      </w:r>
      <w:r w:rsidR="00CA4EA1">
        <w:rPr>
          <w:rFonts w:ascii="Garamond" w:eastAsia="Times New Roman" w:hAnsi="Garamond" w:cs="Times New Roman"/>
          <w:color w:val="000000" w:themeColor="text1"/>
        </w:rPr>
        <w:t>n agreement</w:t>
      </w:r>
      <w:r w:rsidRPr="7BA706F2">
        <w:rPr>
          <w:rFonts w:ascii="Garamond" w:eastAsia="Times New Roman" w:hAnsi="Garamond" w:cs="Times New Roman"/>
          <w:color w:val="000000" w:themeColor="text1"/>
        </w:rPr>
        <w:t xml:space="preserve">, </w:t>
      </w:r>
      <w:proofErr w:type="gramStart"/>
      <w:r w:rsidRPr="7BA706F2">
        <w:rPr>
          <w:rFonts w:ascii="Garamond" w:eastAsia="Times New Roman" w:hAnsi="Garamond" w:cs="Times New Roman"/>
          <w:color w:val="000000" w:themeColor="text1"/>
        </w:rPr>
        <w:t>taking into account</w:t>
      </w:r>
      <w:proofErr w:type="gramEnd"/>
      <w:r w:rsidRPr="7BA706F2">
        <w:rPr>
          <w:rFonts w:ascii="Garamond" w:eastAsia="Times New Roman" w:hAnsi="Garamond" w:cs="Times New Roman"/>
          <w:color w:val="000000" w:themeColor="text1"/>
        </w:rPr>
        <w:t xml:space="preserve"> </w:t>
      </w:r>
      <w:r w:rsidR="00A008F2">
        <w:rPr>
          <w:rFonts w:ascii="Garamond" w:eastAsia="Times New Roman" w:hAnsi="Garamond" w:cs="Times New Roman"/>
          <w:color w:val="000000" w:themeColor="text1"/>
        </w:rPr>
        <w:t xml:space="preserve">any </w:t>
      </w:r>
      <w:r w:rsidRPr="7BA706F2">
        <w:rPr>
          <w:rFonts w:ascii="Garamond" w:eastAsia="Times New Roman" w:hAnsi="Garamond" w:cs="Times New Roman"/>
          <w:color w:val="000000" w:themeColor="text1"/>
        </w:rPr>
        <w:t xml:space="preserve">commitments </w:t>
      </w:r>
      <w:r w:rsidR="00983905">
        <w:rPr>
          <w:rFonts w:ascii="Garamond" w:eastAsia="Times New Roman" w:hAnsi="Garamond" w:cs="Times New Roman"/>
          <w:color w:val="000000" w:themeColor="text1"/>
        </w:rPr>
        <w:t xml:space="preserve">already made </w:t>
      </w:r>
      <w:r w:rsidR="00CA4EA1">
        <w:rPr>
          <w:rFonts w:ascii="Garamond" w:eastAsia="Times New Roman" w:hAnsi="Garamond" w:cs="Times New Roman"/>
          <w:color w:val="000000" w:themeColor="text1"/>
        </w:rPr>
        <w:t>by the MNE</w:t>
      </w:r>
      <w:r w:rsidRPr="7BA706F2">
        <w:rPr>
          <w:rFonts w:ascii="Garamond" w:eastAsia="Times New Roman" w:hAnsi="Garamond" w:cs="Times New Roman"/>
          <w:color w:val="000000" w:themeColor="text1"/>
        </w:rPr>
        <w:t>.</w:t>
      </w:r>
    </w:p>
    <w:p w14:paraId="37183AED" w14:textId="289CCA02" w:rsidR="00FC2024" w:rsidRPr="0008138C" w:rsidRDefault="7BA706F2" w:rsidP="00FF734F">
      <w:pPr>
        <w:pStyle w:val="ListParagraph"/>
        <w:numPr>
          <w:ilvl w:val="0"/>
          <w:numId w:val="2"/>
        </w:numPr>
        <w:spacing w:after="120"/>
        <w:contextualSpacing w:val="0"/>
        <w:rPr>
          <w:rFonts w:ascii="Garamond" w:eastAsia="Times New Roman" w:hAnsi="Garamond" w:cs="Times New Roman"/>
          <w:color w:val="000000"/>
        </w:rPr>
      </w:pPr>
      <w:r w:rsidRPr="7BA706F2">
        <w:rPr>
          <w:rFonts w:ascii="Garamond" w:eastAsia="Times New Roman" w:hAnsi="Garamond" w:cs="Times New Roman"/>
          <w:color w:val="000000" w:themeColor="text1"/>
          <w:u w:val="single"/>
        </w:rPr>
        <w:t>Follow up</w:t>
      </w:r>
      <w:r w:rsidRPr="7BA706F2">
        <w:rPr>
          <w:rFonts w:ascii="Garamond" w:eastAsia="Times New Roman" w:hAnsi="Garamond" w:cs="Times New Roman"/>
          <w:color w:val="000000" w:themeColor="text1"/>
        </w:rPr>
        <w:t xml:space="preserve">: </w:t>
      </w:r>
      <w:r w:rsidR="00DA76D9">
        <w:rPr>
          <w:rFonts w:ascii="Garamond" w:eastAsia="Times New Roman" w:hAnsi="Garamond" w:cs="Times New Roman"/>
          <w:color w:val="000000" w:themeColor="text1"/>
        </w:rPr>
        <w:t>W</w:t>
      </w:r>
      <w:r w:rsidRPr="7BA706F2">
        <w:rPr>
          <w:rFonts w:ascii="Garamond" w:eastAsia="Times New Roman" w:hAnsi="Garamond" w:cs="Times New Roman"/>
          <w:color w:val="000000" w:themeColor="text1"/>
        </w:rPr>
        <w:t xml:space="preserve">e welcome </w:t>
      </w:r>
      <w:r w:rsidR="008E0536">
        <w:rPr>
          <w:rFonts w:ascii="Garamond" w:eastAsia="Times New Roman" w:hAnsi="Garamond" w:cs="Times New Roman"/>
          <w:color w:val="000000" w:themeColor="text1"/>
        </w:rPr>
        <w:t>language</w:t>
      </w:r>
      <w:r w:rsidR="00DA76D9">
        <w:rPr>
          <w:rFonts w:ascii="Garamond" w:eastAsia="Times New Roman" w:hAnsi="Garamond" w:cs="Times New Roman"/>
          <w:color w:val="000000" w:themeColor="text1"/>
        </w:rPr>
        <w:t xml:space="preserve"> on</w:t>
      </w:r>
      <w:r w:rsidRPr="7BA706F2">
        <w:rPr>
          <w:rFonts w:ascii="Garamond" w:eastAsia="Times New Roman" w:hAnsi="Garamond" w:cs="Times New Roman"/>
          <w:color w:val="000000" w:themeColor="text1"/>
        </w:rPr>
        <w:t xml:space="preserve"> follow up, </w:t>
      </w:r>
      <w:r w:rsidR="00DA76D9">
        <w:rPr>
          <w:rFonts w:ascii="Garamond" w:eastAsia="Times New Roman" w:hAnsi="Garamond" w:cs="Times New Roman"/>
          <w:color w:val="000000" w:themeColor="text1"/>
        </w:rPr>
        <w:t xml:space="preserve">but </w:t>
      </w:r>
      <w:r w:rsidR="00D726E4">
        <w:rPr>
          <w:rFonts w:ascii="Garamond" w:eastAsia="Times New Roman" w:hAnsi="Garamond" w:cs="Times New Roman"/>
          <w:color w:val="000000" w:themeColor="text1"/>
        </w:rPr>
        <w:t xml:space="preserve">it </w:t>
      </w:r>
      <w:r w:rsidRPr="7BA706F2">
        <w:rPr>
          <w:rFonts w:ascii="Garamond" w:eastAsia="Times New Roman" w:hAnsi="Garamond" w:cs="Times New Roman"/>
          <w:color w:val="000000" w:themeColor="text1"/>
        </w:rPr>
        <w:t xml:space="preserve">lacks clarity. The text should </w:t>
      </w:r>
      <w:r w:rsidR="008E0536">
        <w:rPr>
          <w:rFonts w:ascii="Garamond" w:eastAsia="Times New Roman" w:hAnsi="Garamond" w:cs="Times New Roman"/>
          <w:color w:val="000000" w:themeColor="text1"/>
        </w:rPr>
        <w:t>direct</w:t>
      </w:r>
      <w:r w:rsidRPr="7BA706F2">
        <w:rPr>
          <w:rFonts w:ascii="Garamond" w:eastAsia="Times New Roman" w:hAnsi="Garamond" w:cs="Times New Roman"/>
          <w:color w:val="000000" w:themeColor="text1"/>
        </w:rPr>
        <w:t xml:space="preserve"> NCPs </w:t>
      </w:r>
      <w:r w:rsidR="008E0536">
        <w:rPr>
          <w:rFonts w:ascii="Garamond" w:eastAsia="Times New Roman" w:hAnsi="Garamond" w:cs="Times New Roman"/>
          <w:color w:val="000000" w:themeColor="text1"/>
        </w:rPr>
        <w:t>to</w:t>
      </w:r>
      <w:r w:rsidRPr="7BA706F2">
        <w:rPr>
          <w:rFonts w:ascii="Garamond" w:eastAsia="Times New Roman" w:hAnsi="Garamond" w:cs="Times New Roman"/>
          <w:color w:val="000000" w:themeColor="text1"/>
        </w:rPr>
        <w:t xml:space="preserve"> undertake follow up until agreements and/or recommendations are fully implemented, unless not warranted for specific</w:t>
      </w:r>
      <w:r w:rsidR="003A3991">
        <w:rPr>
          <w:rFonts w:ascii="Garamond" w:eastAsia="Times New Roman" w:hAnsi="Garamond" w:cs="Times New Roman"/>
          <w:color w:val="000000" w:themeColor="text1"/>
        </w:rPr>
        <w:t xml:space="preserve"> </w:t>
      </w:r>
      <w:r w:rsidRPr="7BA706F2">
        <w:rPr>
          <w:rFonts w:ascii="Garamond" w:eastAsia="Times New Roman" w:hAnsi="Garamond" w:cs="Times New Roman"/>
          <w:color w:val="000000" w:themeColor="text1"/>
        </w:rPr>
        <w:t>reasons</w:t>
      </w:r>
      <w:r w:rsidR="00553504">
        <w:rPr>
          <w:rFonts w:ascii="Garamond" w:eastAsia="Times New Roman" w:hAnsi="Garamond" w:cs="Times New Roman"/>
          <w:color w:val="000000" w:themeColor="text1"/>
        </w:rPr>
        <w:t xml:space="preserve">, and </w:t>
      </w:r>
      <w:r w:rsidR="008E0536">
        <w:rPr>
          <w:rFonts w:ascii="Garamond" w:eastAsia="Times New Roman" w:hAnsi="Garamond" w:cs="Times New Roman"/>
          <w:color w:val="000000" w:themeColor="text1"/>
        </w:rPr>
        <w:t>to</w:t>
      </w:r>
      <w:r w:rsidRPr="00553504">
        <w:rPr>
          <w:rFonts w:ascii="Garamond" w:eastAsia="Times New Roman" w:hAnsi="Garamond" w:cs="Times New Roman"/>
          <w:color w:val="000000" w:themeColor="text1"/>
        </w:rPr>
        <w:t xml:space="preserve"> publish follow up statements </w:t>
      </w:r>
      <w:r w:rsidRPr="00553504">
        <w:rPr>
          <w:rFonts w:ascii="Garamond" w:eastAsia="Times New Roman" w:hAnsi="Garamond" w:cs="Times New Roman"/>
          <w:color w:val="000000" w:themeColor="text1"/>
        </w:rPr>
        <w:lastRenderedPageBreak/>
        <w:t>evaluating implementation and making further recommendations as necessary.</w:t>
      </w:r>
      <w:r w:rsidRPr="7BA706F2">
        <w:rPr>
          <w:rFonts w:ascii="Garamond" w:eastAsia="Times New Roman" w:hAnsi="Garamond" w:cs="Times New Roman"/>
          <w:color w:val="000000" w:themeColor="text1"/>
        </w:rPr>
        <w:t xml:space="preserve"> </w:t>
      </w:r>
      <w:r w:rsidR="003A0C10">
        <w:rPr>
          <w:rFonts w:ascii="Garamond" w:eastAsia="Times New Roman" w:hAnsi="Garamond" w:cs="Times New Roman"/>
          <w:color w:val="000000" w:themeColor="text1"/>
        </w:rPr>
        <w:t>We welcome flexibility on t</w:t>
      </w:r>
      <w:r w:rsidRPr="7BA706F2">
        <w:rPr>
          <w:rFonts w:ascii="Garamond" w:eastAsia="Times New Roman" w:hAnsi="Garamond" w:cs="Times New Roman"/>
          <w:color w:val="000000" w:themeColor="text1"/>
        </w:rPr>
        <w:t>he</w:t>
      </w:r>
      <w:r w:rsidR="008E0536">
        <w:rPr>
          <w:rFonts w:ascii="Garamond" w:eastAsia="Times New Roman" w:hAnsi="Garamond" w:cs="Times New Roman"/>
          <w:color w:val="000000" w:themeColor="text1"/>
        </w:rPr>
        <w:t xml:space="preserve"> ability to resume</w:t>
      </w:r>
      <w:r w:rsidRPr="7BA706F2">
        <w:rPr>
          <w:rFonts w:ascii="Garamond" w:eastAsia="Times New Roman" w:hAnsi="Garamond" w:cs="Times New Roman"/>
          <w:color w:val="000000" w:themeColor="text1"/>
        </w:rPr>
        <w:t xml:space="preserve"> good offices.</w:t>
      </w:r>
    </w:p>
    <w:p w14:paraId="0B44AB48" w14:textId="43AE038B" w:rsidR="00FF734F" w:rsidRPr="00BE2DCA" w:rsidRDefault="00FF734F" w:rsidP="00FF734F">
      <w:pPr>
        <w:pStyle w:val="ListParagraph"/>
        <w:numPr>
          <w:ilvl w:val="0"/>
          <w:numId w:val="2"/>
        </w:numPr>
        <w:spacing w:after="120"/>
        <w:contextualSpacing w:val="0"/>
        <w:rPr>
          <w:rFonts w:ascii="Garamond" w:eastAsia="Times New Roman" w:hAnsi="Garamond" w:cs="Times New Roman"/>
          <w:color w:val="000000"/>
        </w:rPr>
      </w:pPr>
      <w:r w:rsidRPr="00BE2DCA">
        <w:rPr>
          <w:rFonts w:ascii="Garamond" w:eastAsia="Times New Roman" w:hAnsi="Garamond" w:cs="Times New Roman"/>
          <w:color w:val="000000"/>
          <w:u w:val="single"/>
        </w:rPr>
        <w:t>Consequences</w:t>
      </w:r>
      <w:r w:rsidRPr="00BE2DCA">
        <w:rPr>
          <w:rFonts w:ascii="Garamond" w:eastAsia="Times New Roman" w:hAnsi="Garamond" w:cs="Times New Roman"/>
          <w:color w:val="000000"/>
        </w:rPr>
        <w:t xml:space="preserve">: It is crucial that NCPs </w:t>
      </w:r>
      <w:r w:rsidR="008E0536">
        <w:rPr>
          <w:rFonts w:ascii="Garamond" w:eastAsia="Times New Roman" w:hAnsi="Garamond" w:cs="Times New Roman"/>
          <w:color w:val="000000"/>
        </w:rPr>
        <w:t>be</w:t>
      </w:r>
      <w:r w:rsidRPr="00BE2DCA">
        <w:rPr>
          <w:rFonts w:ascii="Garamond" w:eastAsia="Times New Roman" w:hAnsi="Garamond" w:cs="Times New Roman"/>
          <w:color w:val="000000"/>
        </w:rPr>
        <w:t xml:space="preserve"> equipped with tools to incentivize MNE engage</w:t>
      </w:r>
      <w:r w:rsidR="008E0536">
        <w:rPr>
          <w:rFonts w:ascii="Garamond" w:eastAsia="Times New Roman" w:hAnsi="Garamond" w:cs="Times New Roman"/>
          <w:color w:val="000000"/>
        </w:rPr>
        <w:t>ment</w:t>
      </w:r>
      <w:r w:rsidR="005C1016">
        <w:rPr>
          <w:rFonts w:ascii="Garamond" w:eastAsia="Times New Roman" w:hAnsi="Garamond" w:cs="Times New Roman"/>
          <w:color w:val="000000"/>
        </w:rPr>
        <w:t xml:space="preserve"> in dialogue</w:t>
      </w:r>
      <w:r w:rsidR="00FA3121">
        <w:rPr>
          <w:rFonts w:ascii="Garamond" w:eastAsia="Times New Roman" w:hAnsi="Garamond" w:cs="Times New Roman"/>
          <w:color w:val="000000"/>
        </w:rPr>
        <w:t xml:space="preserve"> and implementation of recommendations</w:t>
      </w:r>
      <w:r w:rsidRPr="00BE2DCA">
        <w:rPr>
          <w:rFonts w:ascii="Garamond" w:eastAsia="Times New Roman" w:hAnsi="Garamond" w:cs="Times New Roman"/>
          <w:color w:val="000000"/>
        </w:rPr>
        <w:t xml:space="preserve">. Text should be added to </w:t>
      </w:r>
      <w:r w:rsidR="005C1016">
        <w:rPr>
          <w:rFonts w:ascii="Garamond" w:eastAsia="Times New Roman" w:hAnsi="Garamond" w:cs="Times New Roman"/>
          <w:color w:val="000000"/>
        </w:rPr>
        <w:t>encourage</w:t>
      </w:r>
      <w:r w:rsidR="005C1016" w:rsidRPr="00BE2DCA">
        <w:rPr>
          <w:rFonts w:ascii="Garamond" w:eastAsia="Times New Roman" w:hAnsi="Garamond" w:cs="Times New Roman"/>
          <w:color w:val="000000"/>
        </w:rPr>
        <w:t xml:space="preserve"> </w:t>
      </w:r>
      <w:r w:rsidR="00D726E4">
        <w:rPr>
          <w:rFonts w:ascii="Garamond" w:eastAsia="Times New Roman" w:hAnsi="Garamond" w:cs="Times New Roman"/>
          <w:color w:val="000000"/>
        </w:rPr>
        <w:t>consequences</w:t>
      </w:r>
      <w:r>
        <w:rPr>
          <w:rFonts w:ascii="Garamond" w:eastAsia="Times New Roman" w:hAnsi="Garamond" w:cs="Times New Roman"/>
          <w:color w:val="000000"/>
        </w:rPr>
        <w:t xml:space="preserve"> </w:t>
      </w:r>
      <w:r w:rsidRPr="00BE2DCA">
        <w:rPr>
          <w:rFonts w:ascii="Garamond" w:eastAsia="Times New Roman" w:hAnsi="Garamond" w:cs="Times New Roman"/>
          <w:color w:val="000000"/>
        </w:rPr>
        <w:t>(</w:t>
      </w:r>
      <w:proofErr w:type="gramStart"/>
      <w:r w:rsidRPr="00BE2DCA">
        <w:rPr>
          <w:rFonts w:ascii="Garamond" w:eastAsia="Times New Roman" w:hAnsi="Garamond" w:cs="Times New Roman"/>
          <w:color w:val="000000"/>
        </w:rPr>
        <w:t>i.e.</w:t>
      </w:r>
      <w:proofErr w:type="gramEnd"/>
      <w:r w:rsidRPr="00BE2DCA">
        <w:rPr>
          <w:rFonts w:ascii="Garamond" w:eastAsia="Times New Roman" w:hAnsi="Garamond" w:cs="Times New Roman"/>
          <w:color w:val="000000"/>
        </w:rPr>
        <w:t xml:space="preserve"> exclusion from trade promotion privileges, public procurement contracts, export finance and credit guarantees) when MNEs refuse to engage, </w:t>
      </w:r>
      <w:r w:rsidR="00015058">
        <w:rPr>
          <w:rFonts w:ascii="Garamond" w:eastAsia="Times New Roman" w:hAnsi="Garamond" w:cs="Times New Roman"/>
          <w:color w:val="000000"/>
        </w:rPr>
        <w:t xml:space="preserve">or do not </w:t>
      </w:r>
      <w:r w:rsidRPr="00BE2DCA">
        <w:rPr>
          <w:rFonts w:ascii="Garamond" w:eastAsia="Times New Roman" w:hAnsi="Garamond" w:cs="Times New Roman"/>
          <w:color w:val="000000"/>
        </w:rPr>
        <w:t>implement</w:t>
      </w:r>
      <w:r w:rsidR="00311EFD">
        <w:rPr>
          <w:rFonts w:ascii="Garamond" w:eastAsia="Times New Roman" w:hAnsi="Garamond" w:cs="Times New Roman"/>
          <w:color w:val="000000"/>
        </w:rPr>
        <w:t xml:space="preserve"> agreements or recommendations.</w:t>
      </w:r>
      <w:r w:rsidR="001B0186">
        <w:rPr>
          <w:rFonts w:ascii="Garamond" w:eastAsia="Times New Roman" w:hAnsi="Garamond" w:cs="Times New Roman"/>
          <w:color w:val="000000"/>
        </w:rPr>
        <w:t xml:space="preserve"> Such consequences for Guidelines non-conformance are consistent with due diligence responsibilities.</w:t>
      </w:r>
    </w:p>
    <w:sectPr w:rsidR="00FF734F" w:rsidRPr="00BE2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6A94" w14:textId="77777777" w:rsidR="00783C0D" w:rsidRDefault="00783C0D" w:rsidP="00154059">
      <w:r>
        <w:separator/>
      </w:r>
    </w:p>
  </w:endnote>
  <w:endnote w:type="continuationSeparator" w:id="0">
    <w:p w14:paraId="3AA640F2" w14:textId="77777777" w:rsidR="00783C0D" w:rsidRDefault="00783C0D" w:rsidP="0015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0792" w14:textId="77777777" w:rsidR="00783C0D" w:rsidRDefault="00783C0D" w:rsidP="00154059">
      <w:r>
        <w:separator/>
      </w:r>
    </w:p>
  </w:footnote>
  <w:footnote w:type="continuationSeparator" w:id="0">
    <w:p w14:paraId="6899E5EF" w14:textId="77777777" w:rsidR="00783C0D" w:rsidRDefault="00783C0D" w:rsidP="0015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336"/>
    <w:multiLevelType w:val="hybridMultilevel"/>
    <w:tmpl w:val="24C2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3D42"/>
    <w:multiLevelType w:val="hybridMultilevel"/>
    <w:tmpl w:val="04E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E8B77"/>
    <w:multiLevelType w:val="hybridMultilevel"/>
    <w:tmpl w:val="A33A68C4"/>
    <w:lvl w:ilvl="0" w:tplc="FFFFFFFF">
      <w:start w:val="1"/>
      <w:numFmt w:val="bullet"/>
      <w:lvlText w:val=""/>
      <w:lvlJc w:val="left"/>
      <w:pPr>
        <w:ind w:left="720" w:hanging="360"/>
      </w:pPr>
      <w:rPr>
        <w:rFonts w:ascii="Symbol" w:hAnsi="Symbol" w:hint="default"/>
      </w:rPr>
    </w:lvl>
    <w:lvl w:ilvl="1" w:tplc="05865B80">
      <w:start w:val="1"/>
      <w:numFmt w:val="bullet"/>
      <w:lvlText w:val="o"/>
      <w:lvlJc w:val="left"/>
      <w:pPr>
        <w:ind w:left="1440" w:hanging="360"/>
      </w:pPr>
      <w:rPr>
        <w:rFonts w:ascii="Courier New" w:hAnsi="Courier New" w:hint="default"/>
      </w:rPr>
    </w:lvl>
    <w:lvl w:ilvl="2" w:tplc="D93C8450">
      <w:start w:val="1"/>
      <w:numFmt w:val="bullet"/>
      <w:lvlText w:val=""/>
      <w:lvlJc w:val="left"/>
      <w:pPr>
        <w:ind w:left="2160" w:hanging="360"/>
      </w:pPr>
      <w:rPr>
        <w:rFonts w:ascii="Wingdings" w:hAnsi="Wingdings" w:hint="default"/>
      </w:rPr>
    </w:lvl>
    <w:lvl w:ilvl="3" w:tplc="538806C2">
      <w:start w:val="1"/>
      <w:numFmt w:val="bullet"/>
      <w:lvlText w:val=""/>
      <w:lvlJc w:val="left"/>
      <w:pPr>
        <w:ind w:left="2880" w:hanging="360"/>
      </w:pPr>
      <w:rPr>
        <w:rFonts w:ascii="Symbol" w:hAnsi="Symbol" w:hint="default"/>
      </w:rPr>
    </w:lvl>
    <w:lvl w:ilvl="4" w:tplc="7B306D2E">
      <w:start w:val="1"/>
      <w:numFmt w:val="bullet"/>
      <w:lvlText w:val="o"/>
      <w:lvlJc w:val="left"/>
      <w:pPr>
        <w:ind w:left="3600" w:hanging="360"/>
      </w:pPr>
      <w:rPr>
        <w:rFonts w:ascii="Courier New" w:hAnsi="Courier New" w:hint="default"/>
      </w:rPr>
    </w:lvl>
    <w:lvl w:ilvl="5" w:tplc="0666EDBE">
      <w:start w:val="1"/>
      <w:numFmt w:val="bullet"/>
      <w:lvlText w:val=""/>
      <w:lvlJc w:val="left"/>
      <w:pPr>
        <w:ind w:left="4320" w:hanging="360"/>
      </w:pPr>
      <w:rPr>
        <w:rFonts w:ascii="Wingdings" w:hAnsi="Wingdings" w:hint="default"/>
      </w:rPr>
    </w:lvl>
    <w:lvl w:ilvl="6" w:tplc="2160DD12">
      <w:start w:val="1"/>
      <w:numFmt w:val="bullet"/>
      <w:lvlText w:val=""/>
      <w:lvlJc w:val="left"/>
      <w:pPr>
        <w:ind w:left="5040" w:hanging="360"/>
      </w:pPr>
      <w:rPr>
        <w:rFonts w:ascii="Symbol" w:hAnsi="Symbol" w:hint="default"/>
      </w:rPr>
    </w:lvl>
    <w:lvl w:ilvl="7" w:tplc="AB1246D6">
      <w:start w:val="1"/>
      <w:numFmt w:val="bullet"/>
      <w:lvlText w:val="o"/>
      <w:lvlJc w:val="left"/>
      <w:pPr>
        <w:ind w:left="5760" w:hanging="360"/>
      </w:pPr>
      <w:rPr>
        <w:rFonts w:ascii="Courier New" w:hAnsi="Courier New" w:hint="default"/>
      </w:rPr>
    </w:lvl>
    <w:lvl w:ilvl="8" w:tplc="0FB889CE">
      <w:start w:val="1"/>
      <w:numFmt w:val="bullet"/>
      <w:lvlText w:val=""/>
      <w:lvlJc w:val="left"/>
      <w:pPr>
        <w:ind w:left="6480" w:hanging="360"/>
      </w:pPr>
      <w:rPr>
        <w:rFonts w:ascii="Wingdings" w:hAnsi="Wingdings" w:hint="default"/>
      </w:rPr>
    </w:lvl>
  </w:abstractNum>
  <w:abstractNum w:abstractNumId="3" w15:restartNumberingAfterBreak="0">
    <w:nsid w:val="1953470D"/>
    <w:multiLevelType w:val="hybridMultilevel"/>
    <w:tmpl w:val="F85CA18C"/>
    <w:lvl w:ilvl="0" w:tplc="28DE545A">
      <w:start w:val="1"/>
      <w:numFmt w:val="bullet"/>
      <w:lvlText w:val=""/>
      <w:lvlJc w:val="left"/>
      <w:pPr>
        <w:ind w:left="720" w:hanging="360"/>
      </w:pPr>
      <w:rPr>
        <w:rFonts w:ascii="Symbol" w:hAnsi="Symbol" w:hint="default"/>
      </w:rPr>
    </w:lvl>
    <w:lvl w:ilvl="1" w:tplc="7D48C008">
      <w:start w:val="1"/>
      <w:numFmt w:val="bullet"/>
      <w:lvlText w:val="o"/>
      <w:lvlJc w:val="left"/>
      <w:pPr>
        <w:ind w:left="1440" w:hanging="360"/>
      </w:pPr>
      <w:rPr>
        <w:rFonts w:ascii="Courier New" w:hAnsi="Courier New" w:hint="default"/>
      </w:rPr>
    </w:lvl>
    <w:lvl w:ilvl="2" w:tplc="7444E42A">
      <w:start w:val="1"/>
      <w:numFmt w:val="bullet"/>
      <w:lvlText w:val=""/>
      <w:lvlJc w:val="left"/>
      <w:pPr>
        <w:ind w:left="2160" w:hanging="360"/>
      </w:pPr>
      <w:rPr>
        <w:rFonts w:ascii="Wingdings" w:hAnsi="Wingdings" w:hint="default"/>
      </w:rPr>
    </w:lvl>
    <w:lvl w:ilvl="3" w:tplc="A8F43BE6">
      <w:start w:val="1"/>
      <w:numFmt w:val="bullet"/>
      <w:lvlText w:val=""/>
      <w:lvlJc w:val="left"/>
      <w:pPr>
        <w:ind w:left="2880" w:hanging="360"/>
      </w:pPr>
      <w:rPr>
        <w:rFonts w:ascii="Symbol" w:hAnsi="Symbol" w:hint="default"/>
      </w:rPr>
    </w:lvl>
    <w:lvl w:ilvl="4" w:tplc="56C8B588">
      <w:start w:val="1"/>
      <w:numFmt w:val="bullet"/>
      <w:lvlText w:val="o"/>
      <w:lvlJc w:val="left"/>
      <w:pPr>
        <w:ind w:left="3600" w:hanging="360"/>
      </w:pPr>
      <w:rPr>
        <w:rFonts w:ascii="Courier New" w:hAnsi="Courier New" w:hint="default"/>
      </w:rPr>
    </w:lvl>
    <w:lvl w:ilvl="5" w:tplc="C7663B12">
      <w:start w:val="1"/>
      <w:numFmt w:val="bullet"/>
      <w:lvlText w:val=""/>
      <w:lvlJc w:val="left"/>
      <w:pPr>
        <w:ind w:left="4320" w:hanging="360"/>
      </w:pPr>
      <w:rPr>
        <w:rFonts w:ascii="Wingdings" w:hAnsi="Wingdings" w:hint="default"/>
      </w:rPr>
    </w:lvl>
    <w:lvl w:ilvl="6" w:tplc="9E3CE3E2">
      <w:start w:val="1"/>
      <w:numFmt w:val="bullet"/>
      <w:lvlText w:val=""/>
      <w:lvlJc w:val="left"/>
      <w:pPr>
        <w:ind w:left="5040" w:hanging="360"/>
      </w:pPr>
      <w:rPr>
        <w:rFonts w:ascii="Symbol" w:hAnsi="Symbol" w:hint="default"/>
      </w:rPr>
    </w:lvl>
    <w:lvl w:ilvl="7" w:tplc="E98A147A">
      <w:start w:val="1"/>
      <w:numFmt w:val="bullet"/>
      <w:lvlText w:val="o"/>
      <w:lvlJc w:val="left"/>
      <w:pPr>
        <w:ind w:left="5760" w:hanging="360"/>
      </w:pPr>
      <w:rPr>
        <w:rFonts w:ascii="Courier New" w:hAnsi="Courier New" w:hint="default"/>
      </w:rPr>
    </w:lvl>
    <w:lvl w:ilvl="8" w:tplc="D2BCEC30">
      <w:start w:val="1"/>
      <w:numFmt w:val="bullet"/>
      <w:lvlText w:val=""/>
      <w:lvlJc w:val="left"/>
      <w:pPr>
        <w:ind w:left="6480" w:hanging="360"/>
      </w:pPr>
      <w:rPr>
        <w:rFonts w:ascii="Wingdings" w:hAnsi="Wingdings" w:hint="default"/>
      </w:rPr>
    </w:lvl>
  </w:abstractNum>
  <w:abstractNum w:abstractNumId="4" w15:restartNumberingAfterBreak="0">
    <w:nsid w:val="25014F42"/>
    <w:multiLevelType w:val="hybridMultilevel"/>
    <w:tmpl w:val="E00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66508"/>
    <w:multiLevelType w:val="hybridMultilevel"/>
    <w:tmpl w:val="5D8C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528E5"/>
    <w:multiLevelType w:val="hybridMultilevel"/>
    <w:tmpl w:val="04A48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254335">
    <w:abstractNumId w:val="3"/>
  </w:num>
  <w:num w:numId="2" w16cid:durableId="19353910">
    <w:abstractNumId w:val="0"/>
  </w:num>
  <w:num w:numId="3" w16cid:durableId="438838962">
    <w:abstractNumId w:val="4"/>
  </w:num>
  <w:num w:numId="4" w16cid:durableId="473835215">
    <w:abstractNumId w:val="6"/>
  </w:num>
  <w:num w:numId="5" w16cid:durableId="1336231345">
    <w:abstractNumId w:val="2"/>
  </w:num>
  <w:num w:numId="6" w16cid:durableId="1397708197">
    <w:abstractNumId w:val="1"/>
  </w:num>
  <w:num w:numId="7" w16cid:durableId="1493328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7"/>
    <w:rsid w:val="00002920"/>
    <w:rsid w:val="00010C80"/>
    <w:rsid w:val="000114FD"/>
    <w:rsid w:val="00015058"/>
    <w:rsid w:val="0003024E"/>
    <w:rsid w:val="00051F58"/>
    <w:rsid w:val="0005323E"/>
    <w:rsid w:val="00054F7B"/>
    <w:rsid w:val="0005745B"/>
    <w:rsid w:val="00074AA7"/>
    <w:rsid w:val="0008138C"/>
    <w:rsid w:val="00096EB9"/>
    <w:rsid w:val="000B293E"/>
    <w:rsid w:val="000B3683"/>
    <w:rsid w:val="000C78CA"/>
    <w:rsid w:val="000D6D01"/>
    <w:rsid w:val="000E3785"/>
    <w:rsid w:val="00105F0B"/>
    <w:rsid w:val="001102EB"/>
    <w:rsid w:val="00110B85"/>
    <w:rsid w:val="001156A3"/>
    <w:rsid w:val="00116C4F"/>
    <w:rsid w:val="00141E1B"/>
    <w:rsid w:val="00146330"/>
    <w:rsid w:val="00154059"/>
    <w:rsid w:val="001546C5"/>
    <w:rsid w:val="0017205E"/>
    <w:rsid w:val="00180E01"/>
    <w:rsid w:val="00186818"/>
    <w:rsid w:val="001A188A"/>
    <w:rsid w:val="001A4AF0"/>
    <w:rsid w:val="001B0186"/>
    <w:rsid w:val="001B73DF"/>
    <w:rsid w:val="001D0203"/>
    <w:rsid w:val="001D1D74"/>
    <w:rsid w:val="001D2DF2"/>
    <w:rsid w:val="001E016A"/>
    <w:rsid w:val="001E2C8D"/>
    <w:rsid w:val="001E5869"/>
    <w:rsid w:val="001F140B"/>
    <w:rsid w:val="0020619C"/>
    <w:rsid w:val="00222E31"/>
    <w:rsid w:val="0022606E"/>
    <w:rsid w:val="00243C1B"/>
    <w:rsid w:val="00245F8C"/>
    <w:rsid w:val="00256EB3"/>
    <w:rsid w:val="00257AC1"/>
    <w:rsid w:val="00273792"/>
    <w:rsid w:val="0028673A"/>
    <w:rsid w:val="002E572C"/>
    <w:rsid w:val="002F0583"/>
    <w:rsid w:val="002F1F05"/>
    <w:rsid w:val="002F28A9"/>
    <w:rsid w:val="00311EFD"/>
    <w:rsid w:val="00325D7A"/>
    <w:rsid w:val="00336651"/>
    <w:rsid w:val="0034431B"/>
    <w:rsid w:val="003444E6"/>
    <w:rsid w:val="0034510F"/>
    <w:rsid w:val="0034580E"/>
    <w:rsid w:val="0038577D"/>
    <w:rsid w:val="003A0C10"/>
    <w:rsid w:val="003A1C2E"/>
    <w:rsid w:val="003A3991"/>
    <w:rsid w:val="003B0E0E"/>
    <w:rsid w:val="003B285C"/>
    <w:rsid w:val="003B328F"/>
    <w:rsid w:val="003C2EC6"/>
    <w:rsid w:val="003D6641"/>
    <w:rsid w:val="00401F98"/>
    <w:rsid w:val="00434FD3"/>
    <w:rsid w:val="00444D3E"/>
    <w:rsid w:val="00451C19"/>
    <w:rsid w:val="00473705"/>
    <w:rsid w:val="00473EDF"/>
    <w:rsid w:val="00490478"/>
    <w:rsid w:val="0049709A"/>
    <w:rsid w:val="004F375C"/>
    <w:rsid w:val="004F46B0"/>
    <w:rsid w:val="00511C8F"/>
    <w:rsid w:val="00543225"/>
    <w:rsid w:val="00553504"/>
    <w:rsid w:val="00567293"/>
    <w:rsid w:val="00592A14"/>
    <w:rsid w:val="005A4E77"/>
    <w:rsid w:val="005C1016"/>
    <w:rsid w:val="005C30DA"/>
    <w:rsid w:val="005D4826"/>
    <w:rsid w:val="005D512A"/>
    <w:rsid w:val="0062089E"/>
    <w:rsid w:val="00624130"/>
    <w:rsid w:val="00667808"/>
    <w:rsid w:val="00667CA1"/>
    <w:rsid w:val="00670D9B"/>
    <w:rsid w:val="006A4175"/>
    <w:rsid w:val="006B0946"/>
    <w:rsid w:val="006D2C47"/>
    <w:rsid w:val="006F1493"/>
    <w:rsid w:val="006F179C"/>
    <w:rsid w:val="006F2F3E"/>
    <w:rsid w:val="00700F10"/>
    <w:rsid w:val="00711B22"/>
    <w:rsid w:val="007175E2"/>
    <w:rsid w:val="00727668"/>
    <w:rsid w:val="00753CF8"/>
    <w:rsid w:val="00781B56"/>
    <w:rsid w:val="00783C0D"/>
    <w:rsid w:val="007C29BD"/>
    <w:rsid w:val="007E5F41"/>
    <w:rsid w:val="007E6E79"/>
    <w:rsid w:val="008116E3"/>
    <w:rsid w:val="00820BE0"/>
    <w:rsid w:val="00825F03"/>
    <w:rsid w:val="008308D3"/>
    <w:rsid w:val="00832163"/>
    <w:rsid w:val="00835AF4"/>
    <w:rsid w:val="00841B17"/>
    <w:rsid w:val="00862E5E"/>
    <w:rsid w:val="008B46E0"/>
    <w:rsid w:val="008C33AE"/>
    <w:rsid w:val="008D0678"/>
    <w:rsid w:val="008D7DAA"/>
    <w:rsid w:val="008E0536"/>
    <w:rsid w:val="008F1D28"/>
    <w:rsid w:val="009117DB"/>
    <w:rsid w:val="00913295"/>
    <w:rsid w:val="00934298"/>
    <w:rsid w:val="00940A69"/>
    <w:rsid w:val="00983905"/>
    <w:rsid w:val="009948D2"/>
    <w:rsid w:val="0099570E"/>
    <w:rsid w:val="009E00B6"/>
    <w:rsid w:val="00A008F2"/>
    <w:rsid w:val="00A11237"/>
    <w:rsid w:val="00A17105"/>
    <w:rsid w:val="00A44ED1"/>
    <w:rsid w:val="00A555A8"/>
    <w:rsid w:val="00A7478C"/>
    <w:rsid w:val="00A76AF2"/>
    <w:rsid w:val="00A95F69"/>
    <w:rsid w:val="00AA5D8B"/>
    <w:rsid w:val="00AA6639"/>
    <w:rsid w:val="00AD4696"/>
    <w:rsid w:val="00B22D75"/>
    <w:rsid w:val="00B4205C"/>
    <w:rsid w:val="00B466C4"/>
    <w:rsid w:val="00B60D1F"/>
    <w:rsid w:val="00B72A49"/>
    <w:rsid w:val="00B8220A"/>
    <w:rsid w:val="00B84B13"/>
    <w:rsid w:val="00B86272"/>
    <w:rsid w:val="00B920C6"/>
    <w:rsid w:val="00BA3FD5"/>
    <w:rsid w:val="00BC309F"/>
    <w:rsid w:val="00BE270B"/>
    <w:rsid w:val="00BE2DCA"/>
    <w:rsid w:val="00C05940"/>
    <w:rsid w:val="00C16B16"/>
    <w:rsid w:val="00C32FE5"/>
    <w:rsid w:val="00C407BC"/>
    <w:rsid w:val="00C4505B"/>
    <w:rsid w:val="00C77A65"/>
    <w:rsid w:val="00C92D75"/>
    <w:rsid w:val="00C97657"/>
    <w:rsid w:val="00CA2978"/>
    <w:rsid w:val="00CA4EA1"/>
    <w:rsid w:val="00CA6F4F"/>
    <w:rsid w:val="00CB05A6"/>
    <w:rsid w:val="00CB3142"/>
    <w:rsid w:val="00CC3A2B"/>
    <w:rsid w:val="00CD2537"/>
    <w:rsid w:val="00D21D37"/>
    <w:rsid w:val="00D22E5F"/>
    <w:rsid w:val="00D24110"/>
    <w:rsid w:val="00D25EB4"/>
    <w:rsid w:val="00D30EE0"/>
    <w:rsid w:val="00D7262D"/>
    <w:rsid w:val="00D726E4"/>
    <w:rsid w:val="00D76596"/>
    <w:rsid w:val="00D82722"/>
    <w:rsid w:val="00D85203"/>
    <w:rsid w:val="00D94DAC"/>
    <w:rsid w:val="00DA570B"/>
    <w:rsid w:val="00DA76D9"/>
    <w:rsid w:val="00DB4F7D"/>
    <w:rsid w:val="00DC00BE"/>
    <w:rsid w:val="00DF0CDD"/>
    <w:rsid w:val="00E20696"/>
    <w:rsid w:val="00E2285B"/>
    <w:rsid w:val="00E54D63"/>
    <w:rsid w:val="00E631A1"/>
    <w:rsid w:val="00E654AE"/>
    <w:rsid w:val="00E85D7E"/>
    <w:rsid w:val="00E90387"/>
    <w:rsid w:val="00EA0CC4"/>
    <w:rsid w:val="00EA75CF"/>
    <w:rsid w:val="00EB3E0D"/>
    <w:rsid w:val="00EB7B94"/>
    <w:rsid w:val="00EC6B24"/>
    <w:rsid w:val="00ED215B"/>
    <w:rsid w:val="00EE66E1"/>
    <w:rsid w:val="00F22BAF"/>
    <w:rsid w:val="00F7470E"/>
    <w:rsid w:val="00F774DA"/>
    <w:rsid w:val="00F92734"/>
    <w:rsid w:val="00FA055E"/>
    <w:rsid w:val="00FA3121"/>
    <w:rsid w:val="00FC2024"/>
    <w:rsid w:val="00FD596C"/>
    <w:rsid w:val="00FE0A3A"/>
    <w:rsid w:val="00FF1CB2"/>
    <w:rsid w:val="00FF1EDA"/>
    <w:rsid w:val="00FF734F"/>
    <w:rsid w:val="10CCEB7E"/>
    <w:rsid w:val="123ECB70"/>
    <w:rsid w:val="2AD32315"/>
    <w:rsid w:val="36074192"/>
    <w:rsid w:val="4E1AB42C"/>
    <w:rsid w:val="4F496BA7"/>
    <w:rsid w:val="5F63BC36"/>
    <w:rsid w:val="6B515758"/>
    <w:rsid w:val="7BA7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DCB7"/>
  <w15:docId w15:val="{FE84B268-CACC-DD44-BA9E-563516EA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D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2D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2D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37"/>
    <w:pPr>
      <w:ind w:left="720"/>
      <w:contextualSpacing/>
    </w:pPr>
  </w:style>
  <w:style w:type="character" w:styleId="CommentReference">
    <w:name w:val="annotation reference"/>
    <w:basedOn w:val="DefaultParagraphFont"/>
    <w:uiPriority w:val="99"/>
    <w:semiHidden/>
    <w:unhideWhenUsed/>
    <w:rsid w:val="00B920C6"/>
    <w:rPr>
      <w:sz w:val="16"/>
      <w:szCs w:val="16"/>
    </w:rPr>
  </w:style>
  <w:style w:type="paragraph" w:styleId="CommentText">
    <w:name w:val="annotation text"/>
    <w:basedOn w:val="Normal"/>
    <w:link w:val="CommentTextChar"/>
    <w:uiPriority w:val="99"/>
    <w:unhideWhenUsed/>
    <w:rsid w:val="00B920C6"/>
    <w:rPr>
      <w:sz w:val="20"/>
      <w:szCs w:val="20"/>
    </w:rPr>
  </w:style>
  <w:style w:type="character" w:customStyle="1" w:styleId="CommentTextChar">
    <w:name w:val="Comment Text Char"/>
    <w:basedOn w:val="DefaultParagraphFont"/>
    <w:link w:val="CommentText"/>
    <w:uiPriority w:val="99"/>
    <w:rsid w:val="00B920C6"/>
    <w:rPr>
      <w:sz w:val="20"/>
      <w:szCs w:val="20"/>
    </w:rPr>
  </w:style>
  <w:style w:type="paragraph" w:styleId="CommentSubject">
    <w:name w:val="annotation subject"/>
    <w:basedOn w:val="CommentText"/>
    <w:next w:val="CommentText"/>
    <w:link w:val="CommentSubjectChar"/>
    <w:uiPriority w:val="99"/>
    <w:semiHidden/>
    <w:unhideWhenUsed/>
    <w:rsid w:val="00B920C6"/>
    <w:rPr>
      <w:b/>
      <w:bCs/>
    </w:rPr>
  </w:style>
  <w:style w:type="character" w:customStyle="1" w:styleId="CommentSubjectChar">
    <w:name w:val="Comment Subject Char"/>
    <w:basedOn w:val="CommentTextChar"/>
    <w:link w:val="CommentSubject"/>
    <w:uiPriority w:val="99"/>
    <w:semiHidden/>
    <w:rsid w:val="00B920C6"/>
    <w:rPr>
      <w:b/>
      <w:bCs/>
      <w:sz w:val="20"/>
      <w:szCs w:val="20"/>
    </w:rPr>
  </w:style>
  <w:style w:type="paragraph" w:styleId="BalloonText">
    <w:name w:val="Balloon Text"/>
    <w:basedOn w:val="Normal"/>
    <w:link w:val="BalloonTextChar"/>
    <w:uiPriority w:val="99"/>
    <w:semiHidden/>
    <w:unhideWhenUsed/>
    <w:rsid w:val="00BE2D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2DCA"/>
    <w:rPr>
      <w:rFonts w:ascii="Times New Roman" w:hAnsi="Times New Roman" w:cs="Times New Roman"/>
      <w:sz w:val="18"/>
      <w:szCs w:val="18"/>
    </w:rPr>
  </w:style>
  <w:style w:type="character" w:styleId="Hyperlink">
    <w:name w:val="Hyperlink"/>
    <w:basedOn w:val="DefaultParagraphFont"/>
    <w:uiPriority w:val="99"/>
    <w:unhideWhenUsed/>
    <w:rsid w:val="00BE2DCA"/>
    <w:rPr>
      <w:color w:val="0563C1" w:themeColor="hyperlink"/>
      <w:u w:val="single"/>
    </w:rPr>
  </w:style>
  <w:style w:type="character" w:customStyle="1" w:styleId="Heading3Char">
    <w:name w:val="Heading 3 Char"/>
    <w:basedOn w:val="DefaultParagraphFont"/>
    <w:link w:val="Heading3"/>
    <w:uiPriority w:val="9"/>
    <w:rsid w:val="00B22D75"/>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22D7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22D75"/>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567293"/>
    <w:rPr>
      <w:rFonts w:ascii="Arial Narrow" w:hAnsi="Arial Narrow" w:cs="Times New Roman"/>
      <w:sz w:val="18"/>
      <w:szCs w:val="18"/>
    </w:rPr>
  </w:style>
  <w:style w:type="paragraph" w:customStyle="1" w:styleId="p2">
    <w:name w:val="p2"/>
    <w:basedOn w:val="Normal"/>
    <w:rsid w:val="00567293"/>
    <w:rPr>
      <w:rFonts w:ascii="Arial Narrow" w:hAnsi="Arial Narrow" w:cs="Times New Roman"/>
      <w:sz w:val="16"/>
      <w:szCs w:val="16"/>
    </w:rPr>
  </w:style>
  <w:style w:type="paragraph" w:customStyle="1" w:styleId="p3">
    <w:name w:val="p3"/>
    <w:basedOn w:val="Normal"/>
    <w:rsid w:val="00567293"/>
    <w:rPr>
      <w:rFonts w:ascii="Arial Narrow" w:hAnsi="Arial Narrow" w:cs="Times New Roman"/>
      <w:sz w:val="16"/>
      <w:szCs w:val="16"/>
    </w:rPr>
  </w:style>
  <w:style w:type="character" w:customStyle="1" w:styleId="apple-converted-space">
    <w:name w:val="apple-converted-space"/>
    <w:basedOn w:val="DefaultParagraphFont"/>
    <w:rsid w:val="00567293"/>
  </w:style>
  <w:style w:type="paragraph" w:styleId="Revision">
    <w:name w:val="Revision"/>
    <w:hidden/>
    <w:uiPriority w:val="99"/>
    <w:semiHidden/>
    <w:rsid w:val="001A188A"/>
  </w:style>
  <w:style w:type="paragraph" w:styleId="FootnoteText">
    <w:name w:val="footnote text"/>
    <w:basedOn w:val="Normal"/>
    <w:link w:val="FootnoteTextChar"/>
    <w:uiPriority w:val="99"/>
    <w:semiHidden/>
    <w:unhideWhenUsed/>
    <w:rsid w:val="00154059"/>
    <w:rPr>
      <w:sz w:val="20"/>
      <w:szCs w:val="20"/>
    </w:rPr>
  </w:style>
  <w:style w:type="character" w:customStyle="1" w:styleId="FootnoteTextChar">
    <w:name w:val="Footnote Text Char"/>
    <w:basedOn w:val="DefaultParagraphFont"/>
    <w:link w:val="FootnoteText"/>
    <w:uiPriority w:val="99"/>
    <w:semiHidden/>
    <w:rsid w:val="00154059"/>
    <w:rPr>
      <w:sz w:val="20"/>
      <w:szCs w:val="20"/>
    </w:rPr>
  </w:style>
  <w:style w:type="character" w:styleId="FootnoteReference">
    <w:name w:val="footnote reference"/>
    <w:basedOn w:val="DefaultParagraphFont"/>
    <w:uiPriority w:val="99"/>
    <w:semiHidden/>
    <w:unhideWhenUsed/>
    <w:rsid w:val="00154059"/>
    <w:rPr>
      <w:vertAlign w:val="superscript"/>
    </w:rPr>
  </w:style>
  <w:style w:type="character" w:styleId="UnresolvedMention">
    <w:name w:val="Unresolved Mention"/>
    <w:basedOn w:val="DefaultParagraphFont"/>
    <w:uiPriority w:val="99"/>
    <w:rsid w:val="0015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9367">
      <w:bodyDiv w:val="1"/>
      <w:marLeft w:val="0"/>
      <w:marRight w:val="0"/>
      <w:marTop w:val="0"/>
      <w:marBottom w:val="0"/>
      <w:divBdr>
        <w:top w:val="none" w:sz="0" w:space="0" w:color="auto"/>
        <w:left w:val="none" w:sz="0" w:space="0" w:color="auto"/>
        <w:bottom w:val="none" w:sz="0" w:space="0" w:color="auto"/>
        <w:right w:val="none" w:sz="0" w:space="0" w:color="auto"/>
      </w:divBdr>
    </w:div>
    <w:div w:id="85210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rvey.oecd.org/index.php?r=survey/index&amp;sid=6552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64B3-A3B2-49DA-9DB9-694CAFCD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Nilsun Gursoy</dc:creator>
  <cp:keywords/>
  <dc:description/>
  <cp:lastModifiedBy>Nilsun Gursoy</cp:lastModifiedBy>
  <cp:revision>3</cp:revision>
  <dcterms:created xsi:type="dcterms:W3CDTF">2023-02-10T17:26:00Z</dcterms:created>
  <dcterms:modified xsi:type="dcterms:W3CDTF">2023-02-10T18:26:00Z</dcterms:modified>
</cp:coreProperties>
</file>